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2127"/>
        <w:gridCol w:w="3260"/>
        <w:gridCol w:w="1985"/>
        <w:gridCol w:w="3685"/>
      </w:tblGrid>
      <w:tr w:rsidR="00F5319A" w:rsidRPr="00DA79DA" w:rsidTr="00894EC8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DA79DA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260" w:type="dxa"/>
          </w:tcPr>
          <w:p w:rsidR="00F5319A" w:rsidRPr="00DA79DA" w:rsidRDefault="000346F5" w:rsidP="007F401B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 xml:space="preserve">People Business Partner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5319A" w:rsidRPr="00DA79DA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685" w:type="dxa"/>
          </w:tcPr>
          <w:p w:rsidR="00F5319A" w:rsidRPr="00DA79DA" w:rsidRDefault="000346F5" w:rsidP="00AE5244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AE5244">
              <w:rPr>
                <w:rFonts w:ascii="Arial" w:hAnsi="Arial" w:cs="Arial"/>
                <w:sz w:val="20"/>
                <w:szCs w:val="20"/>
              </w:rPr>
              <w:t>Organisational Design and People Partnering</w:t>
            </w:r>
            <w:r w:rsidRPr="00DA79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DA79DA" w:rsidTr="00894EC8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:rsidR="00F5319A" w:rsidRPr="00DA79DA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260" w:type="dxa"/>
          </w:tcPr>
          <w:p w:rsidR="00F5319A" w:rsidRPr="00DA79DA" w:rsidRDefault="000346F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People &amp; Culture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5319A" w:rsidRPr="00DA79DA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DA79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F5319A" w:rsidRPr="00DA79DA" w:rsidRDefault="000346F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 xml:space="preserve">People Business Partnering Team </w:t>
            </w:r>
          </w:p>
        </w:tc>
      </w:tr>
      <w:tr w:rsidR="00F5319A" w:rsidRPr="00DA79DA" w:rsidTr="00894EC8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F5319A" w:rsidRPr="00DA79DA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260" w:type="dxa"/>
            <w:vMerge w:val="restart"/>
          </w:tcPr>
          <w:p w:rsidR="00F5319A" w:rsidRPr="00DA79DA" w:rsidRDefault="0003014C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No</w:t>
            </w:r>
            <w:r w:rsidR="00F5319A" w:rsidRPr="00DA79DA">
              <w:rPr>
                <w:rFonts w:ascii="Arial" w:hAnsi="Arial" w:cs="Arial"/>
                <w:sz w:val="20"/>
                <w:szCs w:val="20"/>
              </w:rPr>
              <w:t xml:space="preserve"> direct reports </w:t>
            </w:r>
          </w:p>
          <w:p w:rsidR="00F5319A" w:rsidRPr="00DA79DA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5319A" w:rsidRPr="00DA79DA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5319A" w:rsidRPr="00DA79DA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685" w:type="dxa"/>
          </w:tcPr>
          <w:p w:rsidR="00B75089" w:rsidRPr="00DA79DA" w:rsidRDefault="00C81A72" w:rsidP="00AE5244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A72">
              <w:rPr>
                <w:rFonts w:ascii="Arial" w:hAnsi="Arial" w:cs="Arial"/>
                <w:sz w:val="20"/>
                <w:szCs w:val="20"/>
              </w:rPr>
              <w:t xml:space="preserve">Provides proactive HR services to </w:t>
            </w:r>
            <w:r w:rsidR="00461B59">
              <w:rPr>
                <w:rFonts w:ascii="Arial" w:hAnsi="Arial" w:cs="Arial"/>
                <w:sz w:val="20"/>
                <w:szCs w:val="20"/>
              </w:rPr>
              <w:t xml:space="preserve">MP&amp;S and P&amp;C </w:t>
            </w:r>
            <w:r w:rsidRPr="00C81A72">
              <w:rPr>
                <w:rFonts w:ascii="Arial" w:hAnsi="Arial" w:cs="Arial"/>
                <w:sz w:val="20"/>
                <w:szCs w:val="20"/>
              </w:rPr>
              <w:t xml:space="preserve">leaders </w:t>
            </w:r>
            <w:r w:rsidR="00AE5244">
              <w:rPr>
                <w:rFonts w:ascii="Arial" w:hAnsi="Arial" w:cs="Arial"/>
                <w:sz w:val="20"/>
                <w:szCs w:val="20"/>
              </w:rPr>
              <w:t>globally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5319A" w:rsidRPr="00DA79DA" w:rsidTr="00894EC8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DA79DA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5319A" w:rsidRPr="00DA79DA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5319A" w:rsidRPr="00DA79DA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685" w:type="dxa"/>
          </w:tcPr>
          <w:p w:rsidR="00AE524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People</w:t>
            </w:r>
            <w:r w:rsidR="00461B59">
              <w:rPr>
                <w:rFonts w:ascii="Arial" w:hAnsi="Arial" w:cs="Arial"/>
                <w:sz w:val="20"/>
                <w:szCs w:val="20"/>
              </w:rPr>
              <w:t xml:space="preserve">   -  Supports </w:t>
            </w:r>
            <w:r w:rsidR="007F401B">
              <w:rPr>
                <w:rFonts w:ascii="Arial" w:hAnsi="Arial" w:cs="Arial"/>
                <w:sz w:val="20"/>
                <w:szCs w:val="20"/>
              </w:rPr>
              <w:t>Business Development &amp; Engagement and Commercial</w:t>
            </w:r>
            <w:r w:rsidR="00AE5244">
              <w:rPr>
                <w:rFonts w:ascii="Arial" w:hAnsi="Arial" w:cs="Arial"/>
                <w:sz w:val="20"/>
                <w:szCs w:val="20"/>
              </w:rPr>
              <w:t xml:space="preserve"> business area</w:t>
            </w:r>
            <w:r w:rsidR="007F401B">
              <w:rPr>
                <w:rFonts w:ascii="Arial" w:hAnsi="Arial" w:cs="Arial"/>
                <w:sz w:val="20"/>
                <w:szCs w:val="20"/>
              </w:rPr>
              <w:t xml:space="preserve">s with approximately </w:t>
            </w:r>
            <w:r w:rsidR="00D07CBA">
              <w:rPr>
                <w:rFonts w:ascii="Arial" w:hAnsi="Arial" w:cs="Arial"/>
                <w:sz w:val="20"/>
                <w:szCs w:val="20"/>
              </w:rPr>
              <w:t>350</w:t>
            </w:r>
            <w:r w:rsidR="00AE5244">
              <w:rPr>
                <w:rFonts w:ascii="Arial" w:hAnsi="Arial" w:cs="Arial"/>
                <w:sz w:val="20"/>
                <w:szCs w:val="20"/>
              </w:rPr>
              <w:t xml:space="preserve"> employees</w:t>
            </w:r>
          </w:p>
          <w:p w:rsidR="00F5319A" w:rsidRPr="00DA79DA" w:rsidRDefault="00AE5244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Manages project b</w:t>
            </w:r>
            <w:r w:rsidR="00F5319A" w:rsidRPr="00DA79DA">
              <w:rPr>
                <w:rFonts w:ascii="Arial" w:hAnsi="Arial" w:cs="Arial"/>
                <w:sz w:val="20"/>
                <w:szCs w:val="20"/>
              </w:rPr>
              <w:t>udget</w:t>
            </w:r>
            <w:r>
              <w:rPr>
                <w:rFonts w:ascii="Arial" w:hAnsi="Arial" w:cs="Arial"/>
                <w:sz w:val="20"/>
                <w:szCs w:val="20"/>
              </w:rPr>
              <w:t xml:space="preserve"> spend - £various </w:t>
            </w:r>
          </w:p>
        </w:tc>
      </w:tr>
      <w:tr w:rsidR="00F5319A" w:rsidRPr="00DA79DA" w:rsidTr="00894EC8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5319A" w:rsidRPr="00DA79DA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5319A" w:rsidRPr="00DA79DA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5319A" w:rsidRPr="00DA79DA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DA79DA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685" w:type="dxa"/>
          </w:tcPr>
          <w:p w:rsidR="00F5319A" w:rsidRPr="00DA79DA" w:rsidRDefault="0003014C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A79DA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DA79DA" w:rsidTr="00894EC8">
        <w:trPr>
          <w:trHeight w:val="305"/>
        </w:trPr>
        <w:tc>
          <w:tcPr>
            <w:tcW w:w="2127" w:type="dxa"/>
            <w:shd w:val="clear" w:color="auto" w:fill="D9D9D9" w:themeFill="background1" w:themeFillShade="D9"/>
          </w:tcPr>
          <w:p w:rsidR="007E7CA1" w:rsidRPr="00DA79DA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260" w:type="dxa"/>
          </w:tcPr>
          <w:p w:rsidR="007E7CA1" w:rsidRPr="00DA79DA" w:rsidRDefault="001A0A9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E7CA1" w:rsidRPr="00DA79DA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685" w:type="dxa"/>
          </w:tcPr>
          <w:p w:rsidR="007E7CA1" w:rsidRPr="00DA79DA" w:rsidRDefault="001A0A93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Technical </w:t>
            </w:r>
          </w:p>
        </w:tc>
      </w:tr>
    </w:tbl>
    <w:p w:rsidR="00F5319A" w:rsidRPr="00DA79DA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07" w:type="dxa"/>
        <w:tblInd w:w="-1310" w:type="dxa"/>
        <w:tblLook w:val="04A0" w:firstRow="1" w:lastRow="0" w:firstColumn="1" w:lastColumn="0" w:noHBand="0" w:noVBand="1"/>
      </w:tblPr>
      <w:tblGrid>
        <w:gridCol w:w="11107"/>
      </w:tblGrid>
      <w:tr w:rsidR="009E22D0" w:rsidRPr="00DA79DA" w:rsidTr="00894EC8">
        <w:trPr>
          <w:trHeight w:val="259"/>
        </w:trPr>
        <w:tc>
          <w:tcPr>
            <w:tcW w:w="11107" w:type="dxa"/>
            <w:shd w:val="clear" w:color="auto" w:fill="D9D9D9" w:themeFill="background1" w:themeFillShade="D9"/>
          </w:tcPr>
          <w:p w:rsidR="009E22D0" w:rsidRPr="00DA79DA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DA79DA" w:rsidTr="00894EC8">
        <w:trPr>
          <w:trHeight w:val="1269"/>
        </w:trPr>
        <w:tc>
          <w:tcPr>
            <w:tcW w:w="11107" w:type="dxa"/>
          </w:tcPr>
          <w:p w:rsidR="009E22D0" w:rsidRPr="00C81A72" w:rsidRDefault="00ED7FE2" w:rsidP="007F40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The purpose of the</w:t>
            </w:r>
            <w:r w:rsidR="00395B96">
              <w:rPr>
                <w:rFonts w:ascii="Arial" w:hAnsi="Arial" w:cs="Arial"/>
                <w:sz w:val="20"/>
                <w:szCs w:val="20"/>
              </w:rPr>
              <w:t xml:space="preserve"> People and Culture team is to </w:t>
            </w:r>
            <w:r w:rsidR="00395B96" w:rsidRPr="001A0A93">
              <w:rPr>
                <w:rFonts w:ascii="Arial" w:hAnsi="Arial" w:cs="Arial"/>
                <w:sz w:val="20"/>
                <w:szCs w:val="20"/>
              </w:rPr>
              <w:t>enable leaders to cultivate and inspire an agile and engaged environment where colleagues are empowered to deliver the MPS Vision.  The People Business Partner</w:t>
            </w:r>
            <w:r w:rsidR="00F27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A93">
              <w:rPr>
                <w:rFonts w:ascii="Arial" w:hAnsi="Arial" w:cs="Arial"/>
                <w:sz w:val="20"/>
                <w:szCs w:val="20"/>
              </w:rPr>
              <w:t>will work in partnership with</w:t>
            </w:r>
            <w:r w:rsidR="00F27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A93">
              <w:rPr>
                <w:rFonts w:ascii="Arial" w:hAnsi="Arial" w:cs="Arial"/>
                <w:sz w:val="20"/>
                <w:szCs w:val="20"/>
              </w:rPr>
              <w:t>leaders</w:t>
            </w:r>
            <w:r w:rsidR="00461B59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7F401B">
              <w:rPr>
                <w:rFonts w:ascii="Arial" w:hAnsi="Arial" w:cs="Arial"/>
                <w:sz w:val="20"/>
                <w:szCs w:val="20"/>
              </w:rPr>
              <w:t>Business Development &amp; Engagement and Commercial</w:t>
            </w:r>
            <w:r w:rsidR="001A0A93">
              <w:rPr>
                <w:rFonts w:ascii="Arial" w:hAnsi="Arial" w:cs="Arial"/>
                <w:sz w:val="20"/>
                <w:szCs w:val="20"/>
              </w:rPr>
              <w:t>,</w:t>
            </w:r>
            <w:r w:rsidRPr="00D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A93">
              <w:rPr>
                <w:rFonts w:ascii="Arial" w:hAnsi="Arial" w:cs="Arial"/>
                <w:sz w:val="20"/>
                <w:szCs w:val="20"/>
              </w:rPr>
              <w:t xml:space="preserve">providing </w:t>
            </w:r>
            <w:r w:rsidR="001A0A93" w:rsidRPr="001A0A93">
              <w:rPr>
                <w:rFonts w:ascii="Arial" w:hAnsi="Arial" w:cs="Arial"/>
                <w:sz w:val="20"/>
                <w:szCs w:val="20"/>
              </w:rPr>
              <w:t xml:space="preserve">proactive HR services, helping to create, </w:t>
            </w:r>
            <w:proofErr w:type="gramStart"/>
            <w:r w:rsidR="001A0A93" w:rsidRPr="001A0A93">
              <w:rPr>
                <w:rFonts w:ascii="Arial" w:hAnsi="Arial" w:cs="Arial"/>
                <w:sz w:val="20"/>
                <w:szCs w:val="20"/>
              </w:rPr>
              <w:t>deliv</w:t>
            </w:r>
            <w:bookmarkStart w:id="0" w:name="_GoBack"/>
            <w:bookmarkEnd w:id="0"/>
            <w:r w:rsidR="001A0A93" w:rsidRPr="001A0A93">
              <w:rPr>
                <w:rFonts w:ascii="Arial" w:hAnsi="Arial" w:cs="Arial"/>
                <w:sz w:val="20"/>
                <w:szCs w:val="20"/>
              </w:rPr>
              <w:t>er</w:t>
            </w:r>
            <w:proofErr w:type="gramEnd"/>
            <w:r w:rsidR="001A0A93" w:rsidRPr="001A0A93">
              <w:rPr>
                <w:rFonts w:ascii="Arial" w:hAnsi="Arial" w:cs="Arial"/>
                <w:sz w:val="20"/>
                <w:szCs w:val="20"/>
              </w:rPr>
              <w:t xml:space="preserve"> and implement a people strategy that will drive the achievement of the </w:t>
            </w:r>
            <w:r w:rsidR="00C81A72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="001A0A93" w:rsidRPr="001A0A93">
              <w:rPr>
                <w:rFonts w:ascii="Arial" w:hAnsi="Arial" w:cs="Arial"/>
                <w:sz w:val="20"/>
                <w:szCs w:val="20"/>
              </w:rPr>
              <w:t>strategy through maximising employee engagement.</w:t>
            </w:r>
          </w:p>
        </w:tc>
      </w:tr>
    </w:tbl>
    <w:p w:rsidR="009E22D0" w:rsidRPr="00DA79DA" w:rsidRDefault="009E22D0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8" w:type="dxa"/>
        <w:tblInd w:w="-1310" w:type="dxa"/>
        <w:tblLook w:val="04A0" w:firstRow="1" w:lastRow="0" w:firstColumn="1" w:lastColumn="0" w:noHBand="0" w:noVBand="1"/>
      </w:tblPr>
      <w:tblGrid>
        <w:gridCol w:w="6947"/>
        <w:gridCol w:w="4141"/>
      </w:tblGrid>
      <w:tr w:rsidR="009E22D0" w:rsidRPr="00DA79DA" w:rsidTr="00894EC8">
        <w:trPr>
          <w:trHeight w:val="310"/>
        </w:trPr>
        <w:tc>
          <w:tcPr>
            <w:tcW w:w="6947" w:type="dxa"/>
            <w:shd w:val="clear" w:color="auto" w:fill="D9D9D9" w:themeFill="background1" w:themeFillShade="D9"/>
          </w:tcPr>
          <w:p w:rsidR="009E22D0" w:rsidRPr="00DA79DA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DA79DA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90142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A</w:t>
            </w:r>
            <w:r w:rsidRPr="00DA79DA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:rsidR="009E22D0" w:rsidRPr="00DA79DA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DA79DA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:rsidR="00717094" w:rsidRPr="00DA79DA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22D0" w:rsidRPr="00DA79DA" w:rsidRDefault="009E22D0" w:rsidP="00C6586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DA79DA" w:rsidTr="00894EC8">
        <w:trPr>
          <w:trHeight w:val="578"/>
        </w:trPr>
        <w:tc>
          <w:tcPr>
            <w:tcW w:w="6947" w:type="dxa"/>
          </w:tcPr>
          <w:p w:rsidR="0056188D" w:rsidRPr="00953F15" w:rsidRDefault="0056188D" w:rsidP="00953F15">
            <w:pPr>
              <w:pStyle w:val="ListParagraph"/>
              <w:spacing w:before="0" w:beforeAutospacing="0" w:after="0" w:afterAutospacing="0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3F15">
              <w:rPr>
                <w:rFonts w:ascii="Arial" w:hAnsi="Arial" w:cs="Arial"/>
                <w:b/>
                <w:sz w:val="20"/>
                <w:szCs w:val="20"/>
              </w:rPr>
              <w:t>Operational Leadership</w:t>
            </w:r>
          </w:p>
          <w:p w:rsidR="00953F15" w:rsidRPr="00953F15" w:rsidRDefault="00953F15" w:rsidP="00953F15">
            <w:pPr>
              <w:pStyle w:val="ListParagraph"/>
              <w:spacing w:before="0" w:beforeAutospacing="0" w:after="0" w:afterAutospacing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1A72" w:rsidRPr="00953F15" w:rsidRDefault="005C4E80" w:rsidP="00953F15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Contribute to the development and delivery of the People &amp; Culture strategy to plan, cost and quality</w:t>
            </w:r>
          </w:p>
          <w:p w:rsidR="00953F15" w:rsidRPr="00953F15" w:rsidRDefault="00953F15" w:rsidP="00953F15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A72">
              <w:rPr>
                <w:rFonts w:ascii="Arial" w:hAnsi="Arial" w:cs="Arial"/>
                <w:sz w:val="20"/>
                <w:szCs w:val="20"/>
              </w:rPr>
              <w:t xml:space="preserve">Work with leaders across the relevant business area (UK and Internationally) to </w:t>
            </w:r>
            <w:r>
              <w:rPr>
                <w:rFonts w:ascii="Arial" w:hAnsi="Arial" w:cs="Arial"/>
                <w:sz w:val="20"/>
                <w:szCs w:val="20"/>
              </w:rPr>
              <w:t>support the development and delivery of</w:t>
            </w:r>
            <w:r w:rsidRPr="00C81A72">
              <w:rPr>
                <w:rFonts w:ascii="Arial" w:hAnsi="Arial" w:cs="Arial"/>
                <w:sz w:val="20"/>
                <w:szCs w:val="20"/>
              </w:rPr>
              <w:t xml:space="preserve"> the annual people plan </w:t>
            </w:r>
            <w:r>
              <w:rPr>
                <w:rFonts w:ascii="Arial" w:hAnsi="Arial" w:cs="Arial"/>
                <w:sz w:val="20"/>
                <w:szCs w:val="20"/>
              </w:rPr>
              <w:t xml:space="preserve">ensuring </w:t>
            </w:r>
            <w:r w:rsidRPr="00C81A72">
              <w:rPr>
                <w:rFonts w:ascii="Arial" w:hAnsi="Arial" w:cs="Arial"/>
                <w:sz w:val="20"/>
                <w:szCs w:val="20"/>
              </w:rPr>
              <w:t>commercial alignment between the people strategy and the business strategy</w:t>
            </w:r>
          </w:p>
          <w:p w:rsidR="005C4E80" w:rsidRPr="00953F15" w:rsidRDefault="005C4E80" w:rsidP="00953F15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15">
              <w:rPr>
                <w:rFonts w:ascii="Arial" w:hAnsi="Arial" w:cs="Arial"/>
                <w:sz w:val="20"/>
                <w:szCs w:val="20"/>
              </w:rPr>
              <w:t>Promote positive employee relations at all times and champion a community environment which enables the diversity agenda, well-being of our colleagues and builds our reputation in the market place as a positive employer brand</w:t>
            </w:r>
          </w:p>
          <w:p w:rsidR="0003014C" w:rsidRPr="00894EC8" w:rsidRDefault="00E9577C" w:rsidP="00894EC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 on annual HR processes (salary, bonus, moderations) within the </w:t>
            </w:r>
            <w:r w:rsidR="00F270F8">
              <w:rPr>
                <w:rFonts w:ascii="Arial" w:hAnsi="Arial" w:cs="Arial"/>
                <w:sz w:val="20"/>
                <w:szCs w:val="20"/>
              </w:rPr>
              <w:t>business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engaging with business leaders to ensure understanding and completion in line with governance forums timeframes </w:t>
            </w:r>
          </w:p>
        </w:tc>
        <w:tc>
          <w:tcPr>
            <w:tcW w:w="4141" w:type="dxa"/>
          </w:tcPr>
          <w:p w:rsidR="005C4E80" w:rsidRPr="00DA79DA" w:rsidRDefault="005C4E80" w:rsidP="005C4E80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A79DA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:rsidR="005C4E80" w:rsidRDefault="005C4E80" w:rsidP="005C4E80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A79DA">
              <w:rPr>
                <w:rFonts w:ascii="Arial" w:eastAsia="Calibri" w:hAnsi="Arial" w:cs="Arial"/>
                <w:sz w:val="20"/>
                <w:szCs w:val="20"/>
              </w:rPr>
              <w:t>Division Plan Vs plan</w:t>
            </w:r>
          </w:p>
          <w:p w:rsidR="00901426" w:rsidRDefault="00901426" w:rsidP="005C4E80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MP&amp;S People Plan RAG status </w:t>
            </w:r>
          </w:p>
          <w:p w:rsidR="00E9577C" w:rsidRPr="00DA79DA" w:rsidRDefault="00E9577C" w:rsidP="005C4E80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People &amp; Culture activity calendar </w:t>
            </w:r>
          </w:p>
          <w:p w:rsidR="00035639" w:rsidRPr="00DA79DA" w:rsidRDefault="00035639" w:rsidP="00762C1E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DA79DA" w:rsidTr="00894EC8">
        <w:trPr>
          <w:trHeight w:val="578"/>
        </w:trPr>
        <w:tc>
          <w:tcPr>
            <w:tcW w:w="6947" w:type="dxa"/>
          </w:tcPr>
          <w:p w:rsidR="00461B59" w:rsidRDefault="009E22D0" w:rsidP="00461B5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3F15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:rsidR="00894EC8" w:rsidRPr="009A17CC" w:rsidRDefault="00623552" w:rsidP="00461B59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Support the setting</w:t>
            </w:r>
            <w:r w:rsidR="00953F15">
              <w:rPr>
                <w:rFonts w:ascii="Arial" w:hAnsi="Arial" w:cs="Arial"/>
                <w:sz w:val="20"/>
                <w:szCs w:val="20"/>
              </w:rPr>
              <w:t xml:space="preserve"> of the</w:t>
            </w:r>
            <w:r w:rsidRPr="00DA79DA">
              <w:rPr>
                <w:rFonts w:ascii="Arial" w:hAnsi="Arial" w:cs="Arial"/>
                <w:sz w:val="20"/>
                <w:szCs w:val="20"/>
              </w:rPr>
              <w:t xml:space="preserve"> departmental </w:t>
            </w:r>
            <w:r w:rsidR="00035639" w:rsidRPr="00DA79DA">
              <w:rPr>
                <w:rFonts w:ascii="Arial" w:hAnsi="Arial" w:cs="Arial"/>
                <w:sz w:val="20"/>
                <w:szCs w:val="20"/>
              </w:rPr>
              <w:t>budget</w:t>
            </w:r>
            <w:r w:rsidR="00762C1E" w:rsidRPr="00DA7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9DA">
              <w:rPr>
                <w:rFonts w:ascii="Arial" w:hAnsi="Arial" w:cs="Arial"/>
                <w:sz w:val="20"/>
                <w:szCs w:val="20"/>
              </w:rPr>
              <w:t>ensuring an efficient and effective operating model which minimises cost and maximises contribution to financial sustainability without comp</w:t>
            </w:r>
            <w:r w:rsidR="00461B59">
              <w:rPr>
                <w:rFonts w:ascii="Arial" w:hAnsi="Arial" w:cs="Arial"/>
                <w:sz w:val="20"/>
                <w:szCs w:val="20"/>
              </w:rPr>
              <w:t>romising the member experience.</w:t>
            </w:r>
          </w:p>
          <w:p w:rsidR="009E22D0" w:rsidRPr="00953F15" w:rsidRDefault="00901426" w:rsidP="00953F15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Gather</w:t>
            </w:r>
            <w:r w:rsidR="005C4E80" w:rsidRPr="00DA79DA">
              <w:rPr>
                <w:rFonts w:ascii="Arial" w:hAnsi="Arial" w:cs="Arial"/>
                <w:sz w:val="20"/>
                <w:szCs w:val="20"/>
              </w:rPr>
              <w:t xml:space="preserve"> insight and analysis from p</w:t>
            </w:r>
            <w:r w:rsidR="005C4E80" w:rsidRPr="00953F15">
              <w:rPr>
                <w:rFonts w:ascii="Arial" w:hAnsi="Arial" w:cs="Arial"/>
                <w:sz w:val="20"/>
                <w:szCs w:val="20"/>
              </w:rPr>
              <w:t>eople metrics and organisational data sources to inform business decisions and actions which results in a measurable improvement in business performance and people metric trends</w:t>
            </w:r>
          </w:p>
        </w:tc>
        <w:tc>
          <w:tcPr>
            <w:tcW w:w="4141" w:type="dxa"/>
          </w:tcPr>
          <w:p w:rsidR="009E22D0" w:rsidRPr="00DA79DA" w:rsidRDefault="009E22D0" w:rsidP="00C65862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61B59" w:rsidRDefault="00461B59" w:rsidP="00461B59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:rsidR="00035639" w:rsidRPr="00461B59" w:rsidRDefault="00461B59" w:rsidP="00461B59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61B59">
              <w:rPr>
                <w:rFonts w:ascii="Arial" w:hAnsi="Arial" w:cs="Arial"/>
                <w:sz w:val="20"/>
                <w:szCs w:val="20"/>
              </w:rPr>
              <w:t>Performance against specific  MP&amp;S</w:t>
            </w:r>
            <w:r>
              <w:rPr>
                <w:rFonts w:ascii="Arial" w:hAnsi="Arial" w:cs="Arial"/>
                <w:sz w:val="20"/>
                <w:szCs w:val="20"/>
              </w:rPr>
              <w:t>/P&amp;C</w:t>
            </w:r>
            <w:r w:rsidRPr="00461B59">
              <w:rPr>
                <w:rFonts w:ascii="Arial" w:hAnsi="Arial" w:cs="Arial"/>
                <w:sz w:val="20"/>
                <w:szCs w:val="20"/>
              </w:rPr>
              <w:t xml:space="preserve"> project benefits </w:t>
            </w:r>
          </w:p>
        </w:tc>
      </w:tr>
      <w:tr w:rsidR="009E22D0" w:rsidRPr="00DA79DA" w:rsidTr="004D0A03">
        <w:trPr>
          <w:trHeight w:val="305"/>
        </w:trPr>
        <w:tc>
          <w:tcPr>
            <w:tcW w:w="6947" w:type="dxa"/>
          </w:tcPr>
          <w:p w:rsidR="00894EC8" w:rsidRDefault="009E22D0" w:rsidP="00894EC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:rsidR="009E22D0" w:rsidRDefault="009A17CC" w:rsidP="009A17CC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as change agents leading on</w:t>
            </w:r>
            <w:r w:rsidRPr="00953F15">
              <w:rPr>
                <w:rFonts w:ascii="Arial" w:hAnsi="Arial" w:cs="Arial"/>
                <w:sz w:val="20"/>
                <w:szCs w:val="20"/>
              </w:rPr>
              <w:t xml:space="preserve"> assigned People &amp; Culture projects affecting MPS wide and roll out other  projects/initiatives within </w:t>
            </w:r>
            <w:r w:rsidR="007F401B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="007F401B">
              <w:rPr>
                <w:rFonts w:ascii="Arial" w:hAnsi="Arial" w:cs="Arial"/>
                <w:sz w:val="20"/>
                <w:szCs w:val="20"/>
              </w:rPr>
              <w:lastRenderedPageBreak/>
              <w:t>Development &amp; Engagement and Commercial</w:t>
            </w:r>
            <w:r w:rsidR="007F401B" w:rsidRPr="00953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F15">
              <w:rPr>
                <w:rFonts w:ascii="Arial" w:hAnsi="Arial" w:cs="Arial"/>
                <w:sz w:val="20"/>
                <w:szCs w:val="20"/>
              </w:rPr>
              <w:t xml:space="preserve">ensuring delivery of projects to time, cost and quality and that can demonstrate a return on investment </w:t>
            </w:r>
          </w:p>
          <w:p w:rsidR="00367636" w:rsidRPr="009A17CC" w:rsidRDefault="00367636" w:rsidP="009A17CC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leaders to create a</w:t>
            </w:r>
            <w:r w:rsidRPr="00202183">
              <w:rPr>
                <w:rFonts w:ascii="Arial" w:hAnsi="Arial" w:cs="Arial"/>
                <w:sz w:val="20"/>
                <w:szCs w:val="20"/>
              </w:rPr>
              <w:t xml:space="preserve"> culture and capability in Lean / continuous improvement and project management to drive operational efficiency and great member experiences and outcomes</w:t>
            </w:r>
          </w:p>
        </w:tc>
        <w:tc>
          <w:tcPr>
            <w:tcW w:w="4141" w:type="dxa"/>
          </w:tcPr>
          <w:p w:rsidR="00195B08" w:rsidRDefault="00195B08" w:rsidP="00762C1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lastRenderedPageBreak/>
              <w:t>Net Promoter score</w:t>
            </w:r>
          </w:p>
          <w:p w:rsidR="00367636" w:rsidRPr="00DA79DA" w:rsidRDefault="00367636" w:rsidP="00762C1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satisfaction scores</w:t>
            </w:r>
          </w:p>
          <w:p w:rsidR="00195B08" w:rsidRPr="00DA79DA" w:rsidRDefault="00195B08" w:rsidP="005C4E8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DA79DA" w:rsidTr="00894EC8">
        <w:trPr>
          <w:trHeight w:val="591"/>
        </w:trPr>
        <w:tc>
          <w:tcPr>
            <w:tcW w:w="6947" w:type="dxa"/>
          </w:tcPr>
          <w:p w:rsidR="009E22D0" w:rsidRPr="00DA79DA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lastRenderedPageBreak/>
              <w:t>People</w:t>
            </w:r>
          </w:p>
          <w:p w:rsidR="00901426" w:rsidRPr="00953F15" w:rsidRDefault="000346F5" w:rsidP="00953F15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15">
              <w:rPr>
                <w:rFonts w:ascii="Arial" w:hAnsi="Arial" w:cs="Arial"/>
                <w:sz w:val="20"/>
                <w:szCs w:val="20"/>
              </w:rPr>
              <w:t xml:space="preserve">Coach  leaders to improve their leadership capability to create a high performing, engaged and diverse </w:t>
            </w:r>
            <w:r w:rsidR="007F401B">
              <w:rPr>
                <w:rFonts w:ascii="Arial" w:hAnsi="Arial" w:cs="Arial"/>
                <w:sz w:val="20"/>
                <w:szCs w:val="20"/>
              </w:rPr>
              <w:t>Business Development &amp; Engagement and Commercial</w:t>
            </w:r>
            <w:r w:rsidR="007F401B" w:rsidRPr="00953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426" w:rsidRPr="00953F15">
              <w:rPr>
                <w:rFonts w:ascii="Arial" w:hAnsi="Arial" w:cs="Arial"/>
                <w:sz w:val="20"/>
                <w:szCs w:val="20"/>
              </w:rPr>
              <w:t>leadership team</w:t>
            </w:r>
            <w:r w:rsidR="007F401B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0346F5" w:rsidRPr="00953F15" w:rsidRDefault="00901426" w:rsidP="00953F15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15">
              <w:rPr>
                <w:rFonts w:ascii="Arial" w:hAnsi="Arial" w:cs="Arial"/>
                <w:sz w:val="20"/>
                <w:szCs w:val="20"/>
              </w:rPr>
              <w:t>B</w:t>
            </w:r>
            <w:r w:rsidR="000346F5" w:rsidRPr="00953F15">
              <w:rPr>
                <w:rFonts w:ascii="Arial" w:hAnsi="Arial" w:cs="Arial"/>
                <w:sz w:val="20"/>
                <w:szCs w:val="20"/>
              </w:rPr>
              <w:t>uild a strong internal and external network to inform continuous professional development, and contribute thought-leadership on HR policies and practi</w:t>
            </w:r>
            <w:r w:rsidRPr="00953F15">
              <w:rPr>
                <w:rFonts w:ascii="Arial" w:hAnsi="Arial" w:cs="Arial"/>
                <w:sz w:val="20"/>
                <w:szCs w:val="20"/>
              </w:rPr>
              <w:t>ce that will further enhance People &amp; Culture’s</w:t>
            </w:r>
            <w:r w:rsidR="000346F5" w:rsidRPr="00953F15">
              <w:rPr>
                <w:rFonts w:ascii="Arial" w:hAnsi="Arial" w:cs="Arial"/>
                <w:sz w:val="20"/>
                <w:szCs w:val="20"/>
              </w:rPr>
              <w:t xml:space="preserve"> contribution to business performance</w:t>
            </w:r>
          </w:p>
          <w:p w:rsidR="009E22D0" w:rsidRPr="00DA79DA" w:rsidRDefault="00901426" w:rsidP="00953F15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Utilise resource across the </w:t>
            </w:r>
            <w:r w:rsidR="005C4E80" w:rsidRPr="00DA79DA">
              <w:rPr>
                <w:rFonts w:ascii="Arial" w:hAnsi="Arial" w:cs="Arial"/>
                <w:sz w:val="20"/>
                <w:szCs w:val="20"/>
              </w:rPr>
              <w:t>People &amp; Culture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E80" w:rsidRPr="00DA79DA">
              <w:rPr>
                <w:rFonts w:ascii="Arial" w:hAnsi="Arial" w:cs="Arial"/>
                <w:sz w:val="20"/>
                <w:szCs w:val="20"/>
              </w:rPr>
              <w:t xml:space="preserve"> to ensure the department provides an efficient </w:t>
            </w:r>
            <w:r>
              <w:rPr>
                <w:rFonts w:ascii="Arial" w:hAnsi="Arial" w:cs="Arial"/>
                <w:sz w:val="20"/>
                <w:szCs w:val="20"/>
              </w:rPr>
              <w:t>and professional service which has</w:t>
            </w:r>
            <w:r w:rsidR="005C4E80" w:rsidRPr="00DA79DA">
              <w:rPr>
                <w:rFonts w:ascii="Arial" w:hAnsi="Arial" w:cs="Arial"/>
                <w:sz w:val="20"/>
                <w:szCs w:val="20"/>
              </w:rPr>
              <w:t xml:space="preserve"> optimal impact on business performance </w:t>
            </w:r>
          </w:p>
        </w:tc>
        <w:tc>
          <w:tcPr>
            <w:tcW w:w="4141" w:type="dxa"/>
          </w:tcPr>
          <w:p w:rsidR="009E22D0" w:rsidRDefault="00901426" w:rsidP="00901426">
            <w:pPr>
              <w:pStyle w:val="ListParagraph"/>
              <w:numPr>
                <w:ilvl w:val="0"/>
                <w:numId w:val="20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MP&amp;S Leadership score vs Overall MPS score </w:t>
            </w:r>
          </w:p>
          <w:p w:rsidR="00901426" w:rsidRDefault="00367636" w:rsidP="00901426">
            <w:pPr>
              <w:pStyle w:val="ListParagraph"/>
              <w:numPr>
                <w:ilvl w:val="0"/>
                <w:numId w:val="20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P&amp;C</w:t>
            </w:r>
            <w:r w:rsidR="00901426">
              <w:rPr>
                <w:rFonts w:ascii="Arial" w:hAnsi="Arial" w:cs="Arial"/>
                <w:sz w:val="20"/>
                <w:szCs w:val="20"/>
              </w:rPr>
              <w:t xml:space="preserve"> Engagement score vs Overall MPS score </w:t>
            </w:r>
          </w:p>
          <w:p w:rsidR="00367636" w:rsidRPr="00DA79DA" w:rsidRDefault="00367636" w:rsidP="00901426">
            <w:pPr>
              <w:pStyle w:val="ListParagraph"/>
              <w:numPr>
                <w:ilvl w:val="0"/>
                <w:numId w:val="20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talent and succession plans</w:t>
            </w:r>
          </w:p>
        </w:tc>
      </w:tr>
      <w:tr w:rsidR="009E22D0" w:rsidRPr="00DA79DA" w:rsidTr="00894EC8">
        <w:trPr>
          <w:trHeight w:val="591"/>
        </w:trPr>
        <w:tc>
          <w:tcPr>
            <w:tcW w:w="6947" w:type="dxa"/>
          </w:tcPr>
          <w:p w:rsidR="009E22D0" w:rsidRPr="00DA79DA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:rsidR="00623552" w:rsidRPr="00DA79DA" w:rsidRDefault="00623552" w:rsidP="00623552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 xml:space="preserve">Contribute to driving an environment where all colleagues recognise the importance of risk identification and management within the team </w:t>
            </w:r>
          </w:p>
          <w:p w:rsidR="009E22D0" w:rsidRPr="00894EC8" w:rsidRDefault="00623552" w:rsidP="00B75089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Adhere to business processes and controls which are in place to manage the Department within risk appetite; comply with policies and regulatory requirements (as applicable).</w:t>
            </w:r>
          </w:p>
        </w:tc>
        <w:tc>
          <w:tcPr>
            <w:tcW w:w="4141" w:type="dxa"/>
          </w:tcPr>
          <w:p w:rsidR="00195B08" w:rsidRPr="00DA79DA" w:rsidRDefault="00195B08" w:rsidP="00195B0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Risk &amp; Control Self- Assessments</w:t>
            </w:r>
          </w:p>
          <w:p w:rsidR="00195B08" w:rsidRPr="00DA79DA" w:rsidRDefault="00195B08" w:rsidP="00195B0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Audit Actions</w:t>
            </w:r>
          </w:p>
          <w:p w:rsidR="00195B08" w:rsidRPr="00DA79DA" w:rsidRDefault="00195B08" w:rsidP="00195B08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Maintain risk register</w:t>
            </w:r>
          </w:p>
          <w:p w:rsidR="009E22D0" w:rsidRPr="00DA79DA" w:rsidRDefault="009E22D0" w:rsidP="00762C1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711" w:rsidRPr="00DA79DA" w:rsidRDefault="00FB4711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11057"/>
      </w:tblGrid>
      <w:tr w:rsidR="009E22D0" w:rsidRPr="00DA79DA" w:rsidTr="00894EC8">
        <w:trPr>
          <w:trHeight w:val="319"/>
        </w:trPr>
        <w:tc>
          <w:tcPr>
            <w:tcW w:w="11057" w:type="dxa"/>
            <w:shd w:val="clear" w:color="auto" w:fill="D9D9D9" w:themeFill="background1" w:themeFillShade="D9"/>
          </w:tcPr>
          <w:p w:rsidR="009E22D0" w:rsidRPr="00DA79DA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90142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R</w:t>
            </w:r>
            <w:r w:rsidRPr="00DA79DA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DA79DA" w:rsidTr="00894EC8">
        <w:trPr>
          <w:trHeight w:val="693"/>
        </w:trPr>
        <w:tc>
          <w:tcPr>
            <w:tcW w:w="11057" w:type="dxa"/>
          </w:tcPr>
          <w:p w:rsidR="00367636" w:rsidRPr="00367636" w:rsidRDefault="00367636" w:rsidP="00367636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183">
              <w:rPr>
                <w:rFonts w:ascii="Arial" w:hAnsi="Arial" w:cs="Arial"/>
                <w:sz w:val="20"/>
                <w:szCs w:val="20"/>
              </w:rPr>
              <w:t xml:space="preserve">Support on the leadership of P&amp;C ensuring that colleagues build commercial understanding of the challenges and plans facing </w:t>
            </w:r>
            <w:r w:rsidR="007F401B">
              <w:rPr>
                <w:rFonts w:ascii="Arial" w:hAnsi="Arial" w:cs="Arial"/>
                <w:sz w:val="20"/>
                <w:szCs w:val="20"/>
              </w:rPr>
              <w:t>Business Development &amp; Engagement and Commercial</w:t>
            </w:r>
            <w:r w:rsidRPr="00202183">
              <w:rPr>
                <w:rFonts w:ascii="Arial" w:hAnsi="Arial" w:cs="Arial"/>
                <w:sz w:val="20"/>
                <w:szCs w:val="20"/>
              </w:rPr>
              <w:t>; act as an internal mentor and coach for the P&amp;C team</w:t>
            </w:r>
          </w:p>
          <w:p w:rsidR="005C4E80" w:rsidRPr="00901426" w:rsidRDefault="005C4E80" w:rsidP="00367636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As the HR landscape continually changes, keep abreast of evolving legislation and best practice; recommend opportunities for MPS to become more efficient and effective in People and Culture practices</w:t>
            </w:r>
          </w:p>
          <w:p w:rsidR="009E22D0" w:rsidRPr="00894EC8" w:rsidRDefault="00901426" w:rsidP="0036763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hAnsi="Open San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understanding of HR best practice in order to promote high performance, coach and develop other members of the People &amp; Culture department and demonstrate values and behaviours in accordance with company standards.</w:t>
            </w:r>
          </w:p>
        </w:tc>
      </w:tr>
    </w:tbl>
    <w:p w:rsidR="009E22D0" w:rsidRPr="00DA79DA" w:rsidRDefault="009E22D0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11057"/>
      </w:tblGrid>
      <w:tr w:rsidR="005542D1" w:rsidRPr="00DA79DA" w:rsidTr="00894EC8">
        <w:trPr>
          <w:trHeight w:val="301"/>
        </w:trPr>
        <w:tc>
          <w:tcPr>
            <w:tcW w:w="11057" w:type="dxa"/>
            <w:shd w:val="clear" w:color="auto" w:fill="D9D9D9" w:themeFill="background1" w:themeFillShade="D9"/>
          </w:tcPr>
          <w:p w:rsidR="005542D1" w:rsidRPr="00DA79DA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DA79DA" w:rsidTr="00894EC8">
        <w:trPr>
          <w:trHeight w:val="262"/>
        </w:trPr>
        <w:tc>
          <w:tcPr>
            <w:tcW w:w="11057" w:type="dxa"/>
          </w:tcPr>
          <w:p w:rsidR="005542D1" w:rsidRPr="00DA79DA" w:rsidRDefault="0003014C" w:rsidP="00894EC8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 xml:space="preserve">Not applicable </w:t>
            </w:r>
          </w:p>
        </w:tc>
      </w:tr>
    </w:tbl>
    <w:p w:rsidR="005542D1" w:rsidRPr="00DA79DA" w:rsidRDefault="005542D1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6575"/>
        <w:gridCol w:w="4482"/>
      </w:tblGrid>
      <w:tr w:rsidR="0056188D" w:rsidRPr="00DA79DA" w:rsidTr="004D0A03">
        <w:trPr>
          <w:trHeight w:val="310"/>
        </w:trPr>
        <w:tc>
          <w:tcPr>
            <w:tcW w:w="6575" w:type="dxa"/>
            <w:shd w:val="clear" w:color="auto" w:fill="D9D9D9" w:themeFill="background1" w:themeFillShade="D9"/>
          </w:tcPr>
          <w:p w:rsidR="0056188D" w:rsidRPr="00DA79DA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56188D" w:rsidRPr="004D0A03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DA79DA" w:rsidTr="004D0A03">
        <w:trPr>
          <w:trHeight w:val="211"/>
        </w:trPr>
        <w:tc>
          <w:tcPr>
            <w:tcW w:w="6575" w:type="dxa"/>
          </w:tcPr>
          <w:p w:rsidR="0056188D" w:rsidRPr="00DA79DA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:rsidR="0056188D" w:rsidRPr="00DA79DA" w:rsidRDefault="00431ABA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Others </w:t>
            </w:r>
          </w:p>
        </w:tc>
      </w:tr>
      <w:tr w:rsidR="004D18E8" w:rsidRPr="00DA79DA" w:rsidTr="004D0A03">
        <w:trPr>
          <w:trHeight w:val="211"/>
        </w:trPr>
        <w:tc>
          <w:tcPr>
            <w:tcW w:w="6575" w:type="dxa"/>
          </w:tcPr>
          <w:p w:rsidR="004D18E8" w:rsidRPr="00DA79DA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DA79DA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:rsidR="004D18E8" w:rsidRPr="00DA79DA" w:rsidRDefault="00431ABA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DA79DA" w:rsidTr="004D0A03">
        <w:trPr>
          <w:trHeight w:val="211"/>
        </w:trPr>
        <w:tc>
          <w:tcPr>
            <w:tcW w:w="6575" w:type="dxa"/>
          </w:tcPr>
          <w:p w:rsidR="004D18E8" w:rsidRPr="00DA79DA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:rsidR="004D18E8" w:rsidRPr="00DA79DA" w:rsidRDefault="00431ABA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Others </w:t>
            </w:r>
          </w:p>
        </w:tc>
      </w:tr>
      <w:tr w:rsidR="004D18E8" w:rsidRPr="00DA79DA" w:rsidTr="004D0A03">
        <w:trPr>
          <w:trHeight w:val="211"/>
        </w:trPr>
        <w:tc>
          <w:tcPr>
            <w:tcW w:w="6575" w:type="dxa"/>
          </w:tcPr>
          <w:p w:rsidR="004D18E8" w:rsidRPr="00DA79DA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DA79DA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:rsidR="004D18E8" w:rsidRPr="00DA79DA" w:rsidRDefault="00431ABA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DA79DA" w:rsidTr="004D0A03">
        <w:trPr>
          <w:trHeight w:val="211"/>
        </w:trPr>
        <w:tc>
          <w:tcPr>
            <w:tcW w:w="6575" w:type="dxa"/>
          </w:tcPr>
          <w:p w:rsidR="004D18E8" w:rsidRPr="00DA79DA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:rsidR="004D18E8" w:rsidRPr="00DA79DA" w:rsidRDefault="00431ABA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Self </w:t>
            </w:r>
          </w:p>
        </w:tc>
      </w:tr>
      <w:tr w:rsidR="004D18E8" w:rsidRPr="00DA79DA" w:rsidTr="004D0A03">
        <w:trPr>
          <w:trHeight w:val="211"/>
        </w:trPr>
        <w:tc>
          <w:tcPr>
            <w:tcW w:w="6575" w:type="dxa"/>
          </w:tcPr>
          <w:p w:rsidR="004D18E8" w:rsidRPr="00DA79DA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DA79DA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:rsidR="004D18E8" w:rsidRPr="00DA79DA" w:rsidRDefault="00431ABA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Others </w:t>
            </w:r>
          </w:p>
        </w:tc>
      </w:tr>
    </w:tbl>
    <w:tbl>
      <w:tblPr>
        <w:tblStyle w:val="TableGrid1"/>
        <w:tblpPr w:leftFromText="180" w:rightFromText="180" w:vertAnchor="text" w:horzAnchor="page" w:tblpX="524" w:tblpY="500"/>
        <w:tblW w:w="11057" w:type="dxa"/>
        <w:tblLook w:val="04A0" w:firstRow="1" w:lastRow="0" w:firstColumn="1" w:lastColumn="0" w:noHBand="0" w:noVBand="1"/>
      </w:tblPr>
      <w:tblGrid>
        <w:gridCol w:w="1061"/>
        <w:gridCol w:w="2483"/>
        <w:gridCol w:w="3652"/>
        <w:gridCol w:w="3861"/>
      </w:tblGrid>
      <w:tr w:rsidR="00FF16B8" w:rsidRPr="00DA79DA" w:rsidTr="004D0A03">
        <w:trPr>
          <w:trHeight w:val="222"/>
        </w:trPr>
        <w:tc>
          <w:tcPr>
            <w:tcW w:w="1061" w:type="dxa"/>
            <w:shd w:val="clear" w:color="auto" w:fill="D9D9D9" w:themeFill="background1" w:themeFillShade="D9"/>
          </w:tcPr>
          <w:p w:rsidR="00E40AC5" w:rsidRPr="00DA79DA" w:rsidRDefault="00E40AC5" w:rsidP="00894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E40AC5" w:rsidRPr="00DA79DA" w:rsidRDefault="00E40AC5" w:rsidP="00894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652" w:type="dxa"/>
            <w:shd w:val="clear" w:color="auto" w:fill="D9D9D9" w:themeFill="background1" w:themeFillShade="D9"/>
          </w:tcPr>
          <w:p w:rsidR="00E40AC5" w:rsidRPr="00DA79DA" w:rsidRDefault="00E40AC5" w:rsidP="00894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861" w:type="dxa"/>
            <w:shd w:val="clear" w:color="auto" w:fill="D9D9D9" w:themeFill="background1" w:themeFillShade="D9"/>
          </w:tcPr>
          <w:p w:rsidR="00E40AC5" w:rsidRPr="00DA79DA" w:rsidRDefault="00E40AC5" w:rsidP="00894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DA79DA" w:rsidTr="004D0A03">
        <w:trPr>
          <w:cantSplit/>
          <w:trHeight w:val="2063"/>
        </w:trPr>
        <w:tc>
          <w:tcPr>
            <w:tcW w:w="1061" w:type="dxa"/>
            <w:shd w:val="clear" w:color="auto" w:fill="D9D9D9" w:themeFill="background1" w:themeFillShade="D9"/>
            <w:textDirection w:val="btLr"/>
          </w:tcPr>
          <w:p w:rsidR="00E40AC5" w:rsidRPr="00DA79DA" w:rsidRDefault="00E40AC5" w:rsidP="00894E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lastRenderedPageBreak/>
              <w:t>Essential</w:t>
            </w:r>
          </w:p>
        </w:tc>
        <w:tc>
          <w:tcPr>
            <w:tcW w:w="2483" w:type="dxa"/>
          </w:tcPr>
          <w:p w:rsidR="00DA79DA" w:rsidRPr="00DA79DA" w:rsidRDefault="00DA79DA" w:rsidP="00894EC8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DA79DA">
              <w:rPr>
                <w:rFonts w:ascii="Arial" w:eastAsia="Calibri" w:hAnsi="Arial" w:cs="Arial"/>
                <w:sz w:val="20"/>
                <w:szCs w:val="20"/>
              </w:rPr>
              <w:t xml:space="preserve">Graduate Membership of Chartered Institute of Personnel and Development </w:t>
            </w:r>
          </w:p>
          <w:p w:rsidR="00E40AC5" w:rsidRPr="00DA79DA" w:rsidRDefault="00E40AC5" w:rsidP="00894EC8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DA79DA" w:rsidRPr="00DA79DA" w:rsidRDefault="00DA79DA" w:rsidP="00894EC8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Demonstrate thought leadership in HR policy and procedures</w:t>
            </w:r>
          </w:p>
          <w:p w:rsidR="00DA79DA" w:rsidRPr="00DA79DA" w:rsidRDefault="00DA79DA" w:rsidP="00894EC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9DA">
              <w:rPr>
                <w:rFonts w:ascii="Arial" w:hAnsi="Arial" w:cs="Arial"/>
                <w:color w:val="000000"/>
                <w:sz w:val="20"/>
                <w:szCs w:val="20"/>
              </w:rPr>
              <w:t xml:space="preserve">High-energy work </w:t>
            </w:r>
            <w:proofErr w:type="gramStart"/>
            <w:r w:rsidRPr="00DA79DA">
              <w:rPr>
                <w:rFonts w:ascii="Arial" w:hAnsi="Arial" w:cs="Arial"/>
                <w:color w:val="000000"/>
                <w:sz w:val="20"/>
                <w:szCs w:val="20"/>
              </w:rPr>
              <w:t>ethic, ability to establish vision, drive</w:t>
            </w:r>
            <w:proofErr w:type="gramEnd"/>
            <w:r w:rsidRPr="00DA79DA">
              <w:rPr>
                <w:rFonts w:ascii="Arial" w:hAnsi="Arial" w:cs="Arial"/>
                <w:color w:val="000000"/>
                <w:sz w:val="20"/>
                <w:szCs w:val="20"/>
              </w:rPr>
              <w:t xml:space="preserve"> change and deliver results.</w:t>
            </w:r>
          </w:p>
          <w:p w:rsidR="0003014C" w:rsidRPr="004D0A03" w:rsidRDefault="00DA79DA" w:rsidP="004D0A0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Excellent oral and written communication skills, including ability to influence and persuade</w:t>
            </w:r>
          </w:p>
        </w:tc>
        <w:tc>
          <w:tcPr>
            <w:tcW w:w="3861" w:type="dxa"/>
          </w:tcPr>
          <w:p w:rsidR="00DA79DA" w:rsidRPr="00DA79DA" w:rsidRDefault="00DA79DA" w:rsidP="00894EC8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Detailed knowledge of human resources and employee relations approaches, methods and their application</w:t>
            </w:r>
          </w:p>
          <w:p w:rsidR="00E40AC5" w:rsidRPr="00DA79DA" w:rsidRDefault="00E40AC5" w:rsidP="00F045C2">
            <w:pPr>
              <w:spacing w:before="100" w:after="10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16B8" w:rsidRPr="00DA79DA" w:rsidTr="009A17CC">
        <w:trPr>
          <w:cantSplit/>
          <w:trHeight w:val="1412"/>
        </w:trPr>
        <w:tc>
          <w:tcPr>
            <w:tcW w:w="1061" w:type="dxa"/>
            <w:shd w:val="clear" w:color="auto" w:fill="D9D9D9" w:themeFill="background1" w:themeFillShade="D9"/>
            <w:textDirection w:val="btLr"/>
          </w:tcPr>
          <w:p w:rsidR="00E40AC5" w:rsidRPr="00DA79DA" w:rsidRDefault="00E40AC5" w:rsidP="00894E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9DA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:rsidR="00E40AC5" w:rsidRPr="009A17CC" w:rsidRDefault="00DA79DA" w:rsidP="009A17CC">
            <w:pPr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Commercial understanding of MPS and its levers of successful business performanc</w:t>
            </w:r>
            <w:r w:rsidR="009A17C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652" w:type="dxa"/>
          </w:tcPr>
          <w:p w:rsidR="00DA79DA" w:rsidRPr="00DA79DA" w:rsidRDefault="00DA79DA" w:rsidP="00894EC8">
            <w:pPr>
              <w:numPr>
                <w:ilvl w:val="0"/>
                <w:numId w:val="23"/>
              </w:numPr>
              <w:spacing w:before="100" w:after="10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Use of people metric insight to inform people plans / decisions and actions</w:t>
            </w:r>
          </w:p>
          <w:p w:rsidR="00E40AC5" w:rsidRPr="00DA79DA" w:rsidRDefault="00E40AC5" w:rsidP="00894EC8">
            <w:pPr>
              <w:pStyle w:val="ListParagraph"/>
              <w:spacing w:after="0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61" w:type="dxa"/>
          </w:tcPr>
          <w:p w:rsidR="00DA79DA" w:rsidRPr="00DA79DA" w:rsidRDefault="00DA79DA" w:rsidP="00894EC8">
            <w:pPr>
              <w:numPr>
                <w:ilvl w:val="0"/>
                <w:numId w:val="23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Acted previously as a strategic HR Business Partner within a competitive commercial environment</w:t>
            </w:r>
          </w:p>
          <w:p w:rsidR="00E40AC5" w:rsidRPr="009A17CC" w:rsidRDefault="00DA79DA" w:rsidP="009A17CC">
            <w:pPr>
              <w:numPr>
                <w:ilvl w:val="0"/>
                <w:numId w:val="23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A79DA">
              <w:rPr>
                <w:rFonts w:ascii="Arial" w:hAnsi="Arial" w:cs="Arial"/>
                <w:sz w:val="20"/>
                <w:szCs w:val="20"/>
              </w:rPr>
              <w:t>Delivery of transformation change programmes</w:t>
            </w:r>
          </w:p>
        </w:tc>
      </w:tr>
    </w:tbl>
    <w:p w:rsidR="0056188D" w:rsidRPr="00DA79DA" w:rsidRDefault="0056188D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56188D" w:rsidRPr="00DA79DA" w:rsidSect="004D0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399" w:right="1800" w:bottom="568" w:left="180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EE" w:rsidRDefault="00845AEE" w:rsidP="009E22D0">
      <w:pPr>
        <w:spacing w:after="0" w:line="240" w:lineRule="auto"/>
      </w:pPr>
      <w:r>
        <w:separator/>
      </w:r>
    </w:p>
  </w:endnote>
  <w:endnote w:type="continuationSeparator" w:id="0">
    <w:p w:rsidR="00845AEE" w:rsidRDefault="00845AEE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7B" w:rsidRDefault="00A531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7B" w:rsidRDefault="00A531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7B" w:rsidRDefault="00A53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EE" w:rsidRDefault="00845AEE" w:rsidP="009E22D0">
      <w:pPr>
        <w:spacing w:after="0" w:line="240" w:lineRule="auto"/>
      </w:pPr>
      <w:r>
        <w:separator/>
      </w:r>
    </w:p>
  </w:footnote>
  <w:footnote w:type="continuationSeparator" w:id="0">
    <w:p w:rsidR="00845AEE" w:rsidRDefault="00845AEE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7B" w:rsidRDefault="00A531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14B72F21" wp14:editId="5297CD85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7B" w:rsidRDefault="00A531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4E"/>
    <w:multiLevelType w:val="singleLevel"/>
    <w:tmpl w:val="A26EE502"/>
    <w:lvl w:ilvl="0">
      <w:numFmt w:val="bullet"/>
      <w:pStyle w:val="Single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1">
    <w:nsid w:val="0B3E7C4D"/>
    <w:multiLevelType w:val="hybridMultilevel"/>
    <w:tmpl w:val="CB2CC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053F0"/>
    <w:multiLevelType w:val="hybridMultilevel"/>
    <w:tmpl w:val="4C48C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BD28E8"/>
    <w:multiLevelType w:val="singleLevel"/>
    <w:tmpl w:val="95A688B2"/>
    <w:lvl w:ilvl="0">
      <w:start w:val="1"/>
      <w:numFmt w:val="bullet"/>
      <w:pStyle w:val="Singl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abstractNum w:abstractNumId="6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C5F61"/>
    <w:multiLevelType w:val="hybridMultilevel"/>
    <w:tmpl w:val="411C5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C222A"/>
    <w:multiLevelType w:val="hybridMultilevel"/>
    <w:tmpl w:val="84B81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432D56"/>
    <w:multiLevelType w:val="hybridMultilevel"/>
    <w:tmpl w:val="DCF44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D62F4"/>
    <w:multiLevelType w:val="hybridMultilevel"/>
    <w:tmpl w:val="EF843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B57E0A"/>
    <w:multiLevelType w:val="hybridMultilevel"/>
    <w:tmpl w:val="B0846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F2678E"/>
    <w:multiLevelType w:val="hybridMultilevel"/>
    <w:tmpl w:val="CD082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3F0FA1"/>
    <w:multiLevelType w:val="hybridMultilevel"/>
    <w:tmpl w:val="4AB2E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940B3"/>
    <w:multiLevelType w:val="hybridMultilevel"/>
    <w:tmpl w:val="A1B4EAB2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>
    <w:nsid w:val="70B06823"/>
    <w:multiLevelType w:val="hybridMultilevel"/>
    <w:tmpl w:val="8A44BBC4"/>
    <w:lvl w:ilvl="0" w:tplc="6242D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961C6"/>
    <w:multiLevelType w:val="hybridMultilevel"/>
    <w:tmpl w:val="7A569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9"/>
  </w:num>
  <w:num w:numId="9">
    <w:abstractNumId w:val="22"/>
  </w:num>
  <w:num w:numId="10">
    <w:abstractNumId w:val="14"/>
  </w:num>
  <w:num w:numId="11">
    <w:abstractNumId w:val="6"/>
  </w:num>
  <w:num w:numId="12">
    <w:abstractNumId w:val="16"/>
  </w:num>
  <w:num w:numId="13">
    <w:abstractNumId w:val="15"/>
  </w:num>
  <w:num w:numId="14">
    <w:abstractNumId w:val="5"/>
  </w:num>
  <w:num w:numId="15">
    <w:abstractNumId w:val="0"/>
  </w:num>
  <w:num w:numId="16">
    <w:abstractNumId w:val="18"/>
  </w:num>
  <w:num w:numId="17">
    <w:abstractNumId w:val="20"/>
  </w:num>
  <w:num w:numId="18">
    <w:abstractNumId w:val="12"/>
  </w:num>
  <w:num w:numId="19">
    <w:abstractNumId w:val="17"/>
  </w:num>
  <w:num w:numId="20">
    <w:abstractNumId w:val="2"/>
  </w:num>
  <w:num w:numId="21">
    <w:abstractNumId w:val="21"/>
  </w:num>
  <w:num w:numId="22">
    <w:abstractNumId w:val="23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D0"/>
    <w:rsid w:val="0003014C"/>
    <w:rsid w:val="000346F5"/>
    <w:rsid w:val="00035639"/>
    <w:rsid w:val="00056A6A"/>
    <w:rsid w:val="00072E96"/>
    <w:rsid w:val="00082F60"/>
    <w:rsid w:val="000A4F59"/>
    <w:rsid w:val="000E4361"/>
    <w:rsid w:val="00102730"/>
    <w:rsid w:val="00195B08"/>
    <w:rsid w:val="001A0A93"/>
    <w:rsid w:val="002B557F"/>
    <w:rsid w:val="002D6B30"/>
    <w:rsid w:val="00364B5C"/>
    <w:rsid w:val="00367636"/>
    <w:rsid w:val="00395B96"/>
    <w:rsid w:val="00431ABA"/>
    <w:rsid w:val="00461B59"/>
    <w:rsid w:val="004A0E98"/>
    <w:rsid w:val="004D0A03"/>
    <w:rsid w:val="004D18E8"/>
    <w:rsid w:val="0055128B"/>
    <w:rsid w:val="005542D1"/>
    <w:rsid w:val="0056188D"/>
    <w:rsid w:val="005C4E80"/>
    <w:rsid w:val="006213AF"/>
    <w:rsid w:val="006219B1"/>
    <w:rsid w:val="00623552"/>
    <w:rsid w:val="00666EB3"/>
    <w:rsid w:val="00711E46"/>
    <w:rsid w:val="00717094"/>
    <w:rsid w:val="00762C1E"/>
    <w:rsid w:val="007E7CA1"/>
    <w:rsid w:val="007F401B"/>
    <w:rsid w:val="00813AEB"/>
    <w:rsid w:val="00845AEE"/>
    <w:rsid w:val="00894EC8"/>
    <w:rsid w:val="008A39F0"/>
    <w:rsid w:val="00901426"/>
    <w:rsid w:val="00953F15"/>
    <w:rsid w:val="009A17CC"/>
    <w:rsid w:val="009E22D0"/>
    <w:rsid w:val="00A4414A"/>
    <w:rsid w:val="00A5317B"/>
    <w:rsid w:val="00AE5244"/>
    <w:rsid w:val="00B75089"/>
    <w:rsid w:val="00BA6DC1"/>
    <w:rsid w:val="00C0407B"/>
    <w:rsid w:val="00C65862"/>
    <w:rsid w:val="00C81A72"/>
    <w:rsid w:val="00C91CFA"/>
    <w:rsid w:val="00CA5213"/>
    <w:rsid w:val="00D07CBA"/>
    <w:rsid w:val="00DA79DA"/>
    <w:rsid w:val="00E40AC5"/>
    <w:rsid w:val="00E9577C"/>
    <w:rsid w:val="00ED7FE2"/>
    <w:rsid w:val="00F045C2"/>
    <w:rsid w:val="00F22CE5"/>
    <w:rsid w:val="00F270F8"/>
    <w:rsid w:val="00F3179D"/>
    <w:rsid w:val="00F5319A"/>
    <w:rsid w:val="00FB4711"/>
    <w:rsid w:val="00FB5705"/>
    <w:rsid w:val="00FE3EEC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Bullet">
    <w:name w:val="Single Bullet"/>
    <w:basedOn w:val="Normal"/>
    <w:next w:val="Normal"/>
    <w:rsid w:val="0003014C"/>
    <w:pPr>
      <w:numPr>
        <w:numId w:val="14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80" w:lineRule="exact"/>
    </w:pPr>
    <w:rPr>
      <w:rFonts w:ascii="Zurich BT" w:hAnsi="Zurich BT"/>
    </w:rPr>
  </w:style>
  <w:style w:type="paragraph" w:customStyle="1" w:styleId="SingleDash1">
    <w:name w:val="Single Dash 1"/>
    <w:basedOn w:val="Normal"/>
    <w:next w:val="Normal"/>
    <w:rsid w:val="0003014C"/>
    <w:pPr>
      <w:numPr>
        <w:numId w:val="15"/>
      </w:numPr>
      <w:tabs>
        <w:tab w:val="clear" w:pos="1080"/>
        <w:tab w:val="num" w:pos="720"/>
      </w:tabs>
      <w:spacing w:after="0" w:line="280" w:lineRule="exact"/>
    </w:pPr>
    <w:rPr>
      <w:rFonts w:ascii="Zurich BT" w:hAnsi="Zurich BT"/>
    </w:rPr>
  </w:style>
  <w:style w:type="paragraph" w:styleId="NormalWeb">
    <w:name w:val="Normal (Web)"/>
    <w:basedOn w:val="Normal"/>
    <w:uiPriority w:val="99"/>
    <w:unhideWhenUsed/>
    <w:rsid w:val="00030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623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3552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E3EE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EEC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Bullet">
    <w:name w:val="Single Bullet"/>
    <w:basedOn w:val="Normal"/>
    <w:next w:val="Normal"/>
    <w:rsid w:val="0003014C"/>
    <w:pPr>
      <w:numPr>
        <w:numId w:val="14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80" w:lineRule="exact"/>
    </w:pPr>
    <w:rPr>
      <w:rFonts w:ascii="Zurich BT" w:hAnsi="Zurich BT"/>
    </w:rPr>
  </w:style>
  <w:style w:type="paragraph" w:customStyle="1" w:styleId="SingleDash1">
    <w:name w:val="Single Dash 1"/>
    <w:basedOn w:val="Normal"/>
    <w:next w:val="Normal"/>
    <w:rsid w:val="0003014C"/>
    <w:pPr>
      <w:numPr>
        <w:numId w:val="15"/>
      </w:numPr>
      <w:tabs>
        <w:tab w:val="clear" w:pos="1080"/>
        <w:tab w:val="num" w:pos="720"/>
      </w:tabs>
      <w:spacing w:after="0" w:line="280" w:lineRule="exact"/>
    </w:pPr>
    <w:rPr>
      <w:rFonts w:ascii="Zurich BT" w:hAnsi="Zurich BT"/>
    </w:rPr>
  </w:style>
  <w:style w:type="paragraph" w:styleId="NormalWeb">
    <w:name w:val="Normal (Web)"/>
    <w:basedOn w:val="Normal"/>
    <w:uiPriority w:val="99"/>
    <w:unhideWhenUsed/>
    <w:rsid w:val="000301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623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3552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E3EE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EEC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121E-D0D6-44AA-94E9-F92C9616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cp:lastModifiedBy>smitmel</cp:lastModifiedBy>
  <cp:revision>2</cp:revision>
  <dcterms:created xsi:type="dcterms:W3CDTF">2019-07-03T15:23:00Z</dcterms:created>
  <dcterms:modified xsi:type="dcterms:W3CDTF">2019-07-03T15:23:00Z</dcterms:modified>
</cp:coreProperties>
</file>