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4"/>
        <w:gridCol w:w="3566"/>
        <w:gridCol w:w="1994"/>
        <w:gridCol w:w="2806"/>
      </w:tblGrid>
      <w:tr w:rsidR="00F5319A" w:rsidRPr="00B75089" w14:paraId="0673F6C9" w14:textId="77777777" w:rsidTr="00710BAE">
        <w:trPr>
          <w:trHeight w:val="265"/>
        </w:trPr>
        <w:tc>
          <w:tcPr>
            <w:tcW w:w="2124" w:type="dxa"/>
            <w:shd w:val="clear" w:color="auto" w:fill="D9D9D9" w:themeFill="background1" w:themeFillShade="D9"/>
          </w:tcPr>
          <w:p w14:paraId="7EA9946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566" w:type="dxa"/>
          </w:tcPr>
          <w:p w14:paraId="4AB01F1F" w14:textId="7CA5BBBB" w:rsidR="00F5319A" w:rsidRPr="00B75089" w:rsidRDefault="00710BAE" w:rsidP="00DC3A9B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Governance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61A6B61C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806" w:type="dxa"/>
          </w:tcPr>
          <w:p w14:paraId="53A545CF" w14:textId="7A4CBF7F" w:rsidR="00F5319A" w:rsidRPr="00B75089" w:rsidRDefault="00710BAE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– Member Protection and Support</w:t>
            </w:r>
            <w:r w:rsidR="001E42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B75089" w14:paraId="1FB80BD9" w14:textId="77777777" w:rsidTr="00710BAE">
        <w:trPr>
          <w:trHeight w:val="278"/>
        </w:trPr>
        <w:tc>
          <w:tcPr>
            <w:tcW w:w="2124" w:type="dxa"/>
            <w:shd w:val="clear" w:color="auto" w:fill="D9D9D9" w:themeFill="background1" w:themeFillShade="D9"/>
          </w:tcPr>
          <w:p w14:paraId="29CF35AB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566" w:type="dxa"/>
          </w:tcPr>
          <w:p w14:paraId="0D4AA0E3" w14:textId="6022F34A" w:rsidR="00F5319A" w:rsidRPr="00B75089" w:rsidRDefault="001E4271" w:rsidP="0054225A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9023F3">
              <w:rPr>
                <w:rFonts w:ascii="Arial" w:hAnsi="Arial" w:cs="Arial"/>
                <w:sz w:val="20"/>
                <w:szCs w:val="20"/>
              </w:rPr>
              <w:t>mber</w:t>
            </w:r>
            <w:r>
              <w:rPr>
                <w:rFonts w:ascii="Arial" w:hAnsi="Arial" w:cs="Arial"/>
                <w:sz w:val="20"/>
                <w:szCs w:val="20"/>
              </w:rPr>
              <w:t xml:space="preserve"> Protection and Support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030AEE0C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06" w:type="dxa"/>
          </w:tcPr>
          <w:p w14:paraId="555B0412" w14:textId="643649A6" w:rsidR="00F5319A" w:rsidRPr="00B75089" w:rsidRDefault="00710BAE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</w:tr>
      <w:tr w:rsidR="00F5319A" w:rsidRPr="00B75089" w14:paraId="41E280BF" w14:textId="77777777" w:rsidTr="00710BAE">
        <w:trPr>
          <w:trHeight w:val="265"/>
        </w:trPr>
        <w:tc>
          <w:tcPr>
            <w:tcW w:w="2124" w:type="dxa"/>
            <w:vMerge w:val="restart"/>
            <w:shd w:val="clear" w:color="auto" w:fill="D9D9D9" w:themeFill="background1" w:themeFillShade="D9"/>
          </w:tcPr>
          <w:p w14:paraId="72AB3E20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566" w:type="dxa"/>
            <w:vMerge w:val="restart"/>
          </w:tcPr>
          <w:p w14:paraId="2E7B379B" w14:textId="77777777" w:rsidR="00F5319A" w:rsidRDefault="0054225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direct reports:</w:t>
            </w:r>
          </w:p>
          <w:p w14:paraId="08EDFB2A" w14:textId="77777777" w:rsidR="000162FC" w:rsidRDefault="00710BAE" w:rsidP="00710BAE">
            <w:pPr>
              <w:pStyle w:val="Header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Third Party Management Lead</w:t>
            </w:r>
          </w:p>
          <w:p w14:paraId="2A139934" w14:textId="77777777" w:rsidR="00710BAE" w:rsidRDefault="00710BAE" w:rsidP="00710BAE">
            <w:pPr>
              <w:pStyle w:val="Header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Technical Training Material Lead</w:t>
            </w:r>
          </w:p>
          <w:p w14:paraId="12AC5665" w14:textId="77777777" w:rsidR="00710BAE" w:rsidRDefault="00710BAE" w:rsidP="00710BAE">
            <w:pPr>
              <w:pStyle w:val="Header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Process and Policy Lead</w:t>
            </w:r>
          </w:p>
          <w:p w14:paraId="7287C462" w14:textId="30E27787" w:rsidR="00710BAE" w:rsidRPr="00B75089" w:rsidRDefault="00710BAE" w:rsidP="0054225A">
            <w:pPr>
              <w:pStyle w:val="Header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Quantum and Escalation Lead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5D85D2CB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806" w:type="dxa"/>
          </w:tcPr>
          <w:p w14:paraId="71F4A4DD" w14:textId="694639C0" w:rsidR="00F5319A" w:rsidRDefault="0054225A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Governance</w:t>
            </w:r>
            <w:r w:rsidR="00B97BC2">
              <w:rPr>
                <w:rFonts w:ascii="Arial" w:hAnsi="Arial" w:cs="Arial"/>
                <w:sz w:val="20"/>
                <w:szCs w:val="20"/>
              </w:rPr>
              <w:t xml:space="preserve"> across </w:t>
            </w:r>
            <w:r w:rsidR="009F0C20">
              <w:rPr>
                <w:rFonts w:ascii="Arial" w:hAnsi="Arial" w:cs="Arial"/>
                <w:sz w:val="20"/>
                <w:szCs w:val="20"/>
              </w:rPr>
              <w:t>MP&amp;S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A5F">
              <w:rPr>
                <w:rFonts w:ascii="Arial" w:hAnsi="Arial" w:cs="Arial"/>
                <w:sz w:val="20"/>
                <w:szCs w:val="20"/>
              </w:rPr>
              <w:t>– UK and International</w:t>
            </w:r>
            <w:r w:rsidR="00B97BC2">
              <w:rPr>
                <w:rFonts w:ascii="Arial" w:hAnsi="Arial" w:cs="Arial"/>
                <w:sz w:val="20"/>
                <w:szCs w:val="20"/>
              </w:rPr>
              <w:t>.</w:t>
            </w:r>
            <w:r w:rsidR="00083A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659A6F" w14:textId="77777777"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15F81BAD" w14:textId="77777777" w:rsidTr="00710BAE">
        <w:trPr>
          <w:trHeight w:val="350"/>
        </w:trPr>
        <w:tc>
          <w:tcPr>
            <w:tcW w:w="2124" w:type="dxa"/>
            <w:vMerge/>
            <w:shd w:val="clear" w:color="auto" w:fill="D9D9D9" w:themeFill="background1" w:themeFillShade="D9"/>
          </w:tcPr>
          <w:p w14:paraId="2971F2DC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6" w:type="dxa"/>
            <w:vMerge/>
          </w:tcPr>
          <w:p w14:paraId="137EA2B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14:paraId="7C35E4B4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806" w:type="dxa"/>
          </w:tcPr>
          <w:p w14:paraId="3A93C880" w14:textId="77777777" w:rsidR="00F5319A" w:rsidRPr="002A5AC7" w:rsidRDefault="00337B5E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12</w:t>
            </w:r>
            <w:r w:rsidR="00F5319A" w:rsidRPr="002A5AC7"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  <w:p w14:paraId="527F9AC2" w14:textId="77777777" w:rsidR="00F5319A" w:rsidRPr="002A5AC7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AC7">
              <w:rPr>
                <w:rFonts w:ascii="Arial" w:hAnsi="Arial" w:cs="Arial"/>
                <w:sz w:val="20"/>
                <w:szCs w:val="20"/>
              </w:rPr>
              <w:t>£xxx Budget</w:t>
            </w:r>
          </w:p>
          <w:p w14:paraId="0460F087" w14:textId="77777777" w:rsidR="00F5319A" w:rsidRPr="002A5AC7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AC7">
              <w:rPr>
                <w:rFonts w:ascii="Arial" w:hAnsi="Arial" w:cs="Arial"/>
                <w:sz w:val="20"/>
                <w:szCs w:val="20"/>
              </w:rPr>
              <w:t>£xxx income</w:t>
            </w:r>
          </w:p>
        </w:tc>
      </w:tr>
      <w:tr w:rsidR="00F5319A" w:rsidRPr="00B75089" w14:paraId="2EB1F3B1" w14:textId="77777777" w:rsidTr="00710BAE">
        <w:trPr>
          <w:trHeight w:val="381"/>
        </w:trPr>
        <w:tc>
          <w:tcPr>
            <w:tcW w:w="2124" w:type="dxa"/>
            <w:vMerge/>
            <w:shd w:val="clear" w:color="auto" w:fill="D9D9D9" w:themeFill="background1" w:themeFillShade="D9"/>
          </w:tcPr>
          <w:p w14:paraId="6A4A6AE6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6" w:type="dxa"/>
            <w:vMerge/>
          </w:tcPr>
          <w:p w14:paraId="43F3FC74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14:paraId="0228D47F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2806" w:type="dxa"/>
          </w:tcPr>
          <w:p w14:paraId="736CC441" w14:textId="77777777" w:rsidR="00F5319A" w:rsidRPr="002A5AC7" w:rsidRDefault="00337B5E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1AC8C997" w14:textId="77777777" w:rsidTr="00710BAE">
        <w:trPr>
          <w:trHeight w:val="213"/>
        </w:trPr>
        <w:tc>
          <w:tcPr>
            <w:tcW w:w="2124" w:type="dxa"/>
            <w:shd w:val="clear" w:color="auto" w:fill="D9D9D9" w:themeFill="background1" w:themeFillShade="D9"/>
          </w:tcPr>
          <w:p w14:paraId="7BDEA470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566" w:type="dxa"/>
          </w:tcPr>
          <w:p w14:paraId="27576668" w14:textId="722AD2DD" w:rsidR="007E7CA1" w:rsidRPr="00B75089" w:rsidRDefault="001E4271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</w:t>
            </w:r>
            <w:r w:rsidR="00420262">
              <w:rPr>
                <w:rFonts w:ascii="Arial" w:hAnsi="Arial" w:cs="Arial"/>
                <w:sz w:val="20"/>
                <w:szCs w:val="20"/>
              </w:rPr>
              <w:t>, L</w:t>
            </w:r>
            <w:r w:rsidR="00A87D8C">
              <w:rPr>
                <w:rFonts w:ascii="Arial" w:hAnsi="Arial" w:cs="Arial"/>
                <w:sz w:val="20"/>
                <w:szCs w:val="20"/>
              </w:rPr>
              <w:t xml:space="preserve">evel </w:t>
            </w:r>
            <w:r w:rsidR="00935D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5F007839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806" w:type="dxa"/>
          </w:tcPr>
          <w:p w14:paraId="301117BF" w14:textId="4A68FD30" w:rsidR="007E7CA1" w:rsidRPr="002A5AC7" w:rsidRDefault="00420262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Legal</w:t>
            </w:r>
          </w:p>
        </w:tc>
      </w:tr>
    </w:tbl>
    <w:p w14:paraId="23EA591C" w14:textId="77777777" w:rsidR="00F5319A" w:rsidRPr="00083A5F" w:rsidRDefault="00F5319A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116033F1" w14:textId="77777777" w:rsidTr="00CF1FB7">
        <w:trPr>
          <w:trHeight w:val="276"/>
        </w:trPr>
        <w:tc>
          <w:tcPr>
            <w:tcW w:w="10509" w:type="dxa"/>
            <w:shd w:val="clear" w:color="auto" w:fill="D9D9D9" w:themeFill="background1" w:themeFillShade="D9"/>
          </w:tcPr>
          <w:p w14:paraId="706943F0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75DBA9B9" w14:textId="77777777" w:rsidTr="009E22D0">
        <w:trPr>
          <w:trHeight w:val="693"/>
        </w:trPr>
        <w:tc>
          <w:tcPr>
            <w:tcW w:w="10509" w:type="dxa"/>
          </w:tcPr>
          <w:p w14:paraId="32B571CE" w14:textId="0A683F33" w:rsidR="009E22D0" w:rsidRPr="00B75089" w:rsidRDefault="001E4271" w:rsidP="009F0C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257B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F7F52">
              <w:rPr>
                <w:rFonts w:ascii="Arial" w:hAnsi="Arial" w:cs="Arial"/>
                <w:sz w:val="20"/>
                <w:szCs w:val="20"/>
              </w:rPr>
              <w:t xml:space="preserve">Member Protection and Support </w:t>
            </w:r>
            <w:r w:rsidRPr="003257BD">
              <w:rPr>
                <w:rFonts w:ascii="Arial" w:hAnsi="Arial" w:cs="Arial"/>
                <w:sz w:val="20"/>
                <w:szCs w:val="20"/>
              </w:rPr>
              <w:t xml:space="preserve">Division is </w:t>
            </w:r>
            <w:r w:rsidRPr="0086281A">
              <w:rPr>
                <w:rFonts w:ascii="Arial" w:hAnsi="Arial" w:cs="Arial"/>
                <w:sz w:val="20"/>
                <w:szCs w:val="20"/>
              </w:rPr>
              <w:t xml:space="preserve">at the forefront of protecting the careers, reputation and financial risk of our members worldwide. The </w:t>
            </w:r>
            <w:r w:rsidRPr="006A0D9F">
              <w:rPr>
                <w:rFonts w:ascii="Arial" w:hAnsi="Arial" w:cs="Arial"/>
                <w:sz w:val="20"/>
                <w:szCs w:val="20"/>
              </w:rPr>
              <w:t>purpose of the role is to</w:t>
            </w:r>
            <w:r w:rsidR="00B97BC2" w:rsidRPr="006A0D9F">
              <w:rPr>
                <w:rFonts w:ascii="Arial" w:hAnsi="Arial" w:cs="Arial"/>
                <w:sz w:val="20"/>
                <w:szCs w:val="20"/>
              </w:rPr>
              <w:t xml:space="preserve"> lead a governance team which is accountable for </w:t>
            </w:r>
            <w:r w:rsidR="009F0C20">
              <w:rPr>
                <w:rFonts w:ascii="Arial" w:hAnsi="Arial" w:cs="Arial"/>
                <w:sz w:val="20"/>
                <w:szCs w:val="20"/>
              </w:rPr>
              <w:t>providing oversight on performance,</w:t>
            </w:r>
            <w:r w:rsidR="00420262">
              <w:rPr>
                <w:rFonts w:ascii="Arial" w:hAnsi="Arial" w:cs="Arial"/>
                <w:sz w:val="20"/>
                <w:szCs w:val="20"/>
              </w:rPr>
              <w:t xml:space="preserve"> quantum and escalation,</w:t>
            </w:r>
            <w:r w:rsidR="009F0C20">
              <w:rPr>
                <w:rFonts w:ascii="Arial" w:hAnsi="Arial" w:cs="Arial"/>
                <w:sz w:val="20"/>
                <w:szCs w:val="20"/>
              </w:rPr>
              <w:t xml:space="preserve"> compliance with </w:t>
            </w:r>
            <w:r w:rsidR="00B97BC2" w:rsidRPr="006A0D9F">
              <w:rPr>
                <w:rFonts w:ascii="Arial" w:hAnsi="Arial" w:cs="Arial"/>
                <w:sz w:val="20"/>
                <w:szCs w:val="20"/>
              </w:rPr>
              <w:t>process</w:t>
            </w:r>
            <w:r w:rsidR="006A0D9F" w:rsidRPr="006A0D9F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AD1889" w:rsidRPr="006A0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BC2" w:rsidRPr="006A0D9F">
              <w:rPr>
                <w:rFonts w:ascii="Arial" w:hAnsi="Arial" w:cs="Arial"/>
                <w:sz w:val="20"/>
                <w:szCs w:val="20"/>
              </w:rPr>
              <w:t>policy governance</w:t>
            </w:r>
            <w:r w:rsidR="009F0C2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20262">
              <w:rPr>
                <w:rFonts w:ascii="Arial" w:hAnsi="Arial" w:cs="Arial"/>
                <w:sz w:val="20"/>
                <w:szCs w:val="20"/>
              </w:rPr>
              <w:t xml:space="preserve">third party </w:t>
            </w:r>
            <w:r w:rsidR="000162FC">
              <w:rPr>
                <w:rFonts w:ascii="Arial" w:hAnsi="Arial" w:cs="Arial"/>
                <w:sz w:val="20"/>
                <w:szCs w:val="20"/>
              </w:rPr>
              <w:t>panel management</w:t>
            </w:r>
            <w:r w:rsidR="0042026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86928">
              <w:rPr>
                <w:rFonts w:ascii="Arial" w:hAnsi="Arial" w:cs="Arial"/>
                <w:sz w:val="20"/>
                <w:szCs w:val="20"/>
              </w:rPr>
              <w:t>coaching and training</w:t>
            </w:r>
            <w:r w:rsidR="000772D7" w:rsidRPr="000772D7">
              <w:rPr>
                <w:rFonts w:ascii="Arial" w:hAnsi="Arial" w:cs="Arial"/>
                <w:sz w:val="20"/>
                <w:szCs w:val="20"/>
              </w:rPr>
              <w:t xml:space="preserve"> to ensure efficient and effective </w:t>
            </w:r>
            <w:r w:rsidR="000772D7">
              <w:rPr>
                <w:rFonts w:ascii="Arial" w:hAnsi="Arial" w:cs="Arial"/>
                <w:sz w:val="20"/>
                <w:szCs w:val="20"/>
              </w:rPr>
              <w:t>operation</w:t>
            </w:r>
            <w:r w:rsidR="009F0C20" w:rsidRPr="006A0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C2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F0C20" w:rsidRPr="006A0D9F">
              <w:rPr>
                <w:rFonts w:ascii="Arial" w:hAnsi="Arial" w:cs="Arial"/>
                <w:sz w:val="20"/>
                <w:szCs w:val="20"/>
              </w:rPr>
              <w:t>supporting the delivery of excellent service for members which is trusted and valued and provides fair treatment and outcomes</w:t>
            </w:r>
          </w:p>
        </w:tc>
      </w:tr>
    </w:tbl>
    <w:p w14:paraId="070B1FC3" w14:textId="77777777" w:rsidR="009E22D0" w:rsidRPr="00083A5F" w:rsidRDefault="009E22D0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338"/>
        <w:gridCol w:w="3149"/>
      </w:tblGrid>
      <w:tr w:rsidR="009E22D0" w:rsidRPr="00B75089" w14:paraId="4F55E931" w14:textId="77777777" w:rsidTr="00020936">
        <w:trPr>
          <w:trHeight w:val="310"/>
        </w:trPr>
        <w:tc>
          <w:tcPr>
            <w:tcW w:w="7338" w:type="dxa"/>
            <w:shd w:val="clear" w:color="auto" w:fill="D9D9D9" w:themeFill="background1" w:themeFillShade="D9"/>
          </w:tcPr>
          <w:p w14:paraId="50CE3190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14:paraId="11504439" w14:textId="77777777" w:rsidR="009E22D0" w:rsidRPr="00B75089" w:rsidRDefault="009E22D0" w:rsidP="00CF1FB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14:paraId="0F8F4313" w14:textId="77777777" w:rsidTr="00020936">
        <w:trPr>
          <w:trHeight w:val="2230"/>
        </w:trPr>
        <w:tc>
          <w:tcPr>
            <w:tcW w:w="7338" w:type="dxa"/>
          </w:tcPr>
          <w:p w14:paraId="2DDFD644" w14:textId="77777777" w:rsidR="00BD54DF" w:rsidRPr="007803DA" w:rsidRDefault="0056188D" w:rsidP="00C0005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803D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Leadership </w:t>
            </w:r>
          </w:p>
          <w:p w14:paraId="7F2BC3E5" w14:textId="77777777" w:rsidR="00BD54DF" w:rsidRPr="007803DA" w:rsidRDefault="001E4271" w:rsidP="00463A88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803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Provide leadership across </w:t>
            </w:r>
            <w:r w:rsidR="0086281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the team</w:t>
            </w:r>
            <w:r w:rsidR="0056188D" w:rsidRPr="007803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to deliver on the overall corporate </w:t>
            </w:r>
            <w:r w:rsidR="0086281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strategy and</w:t>
            </w:r>
            <w:r w:rsidR="0056188D" w:rsidRPr="007803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business performance</w:t>
            </w:r>
            <w:r w:rsidR="008E65A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188D" w:rsidRPr="007803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that reinforces the desired culture and delivery of strategic priorities.</w:t>
            </w:r>
          </w:p>
          <w:p w14:paraId="4D071630" w14:textId="061FA891" w:rsidR="00BD54DF" w:rsidRPr="00020936" w:rsidRDefault="006848CF" w:rsidP="00463A8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Design, deliver and embed a Governance strategy</w:t>
            </w:r>
            <w:r w:rsidR="003E5AE3" w:rsidRPr="007803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4271" w:rsidRPr="007803DA">
              <w:rPr>
                <w:rFonts w:ascii="Arial" w:hAnsi="Arial" w:cs="Arial"/>
                <w:color w:val="000000" w:themeColor="text1"/>
                <w:sz w:val="20"/>
                <w:szCs w:val="20"/>
              </w:rPr>
              <w:t>to plan, cost and quality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working with the MP&amp;S leadership team to ensure understanding and compliance.  </w:t>
            </w:r>
          </w:p>
          <w:p w14:paraId="6A75D483" w14:textId="1484BB05" w:rsidR="009023F3" w:rsidRPr="00BE672E" w:rsidRDefault="008E65AC" w:rsidP="00463A8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Lead the </w:t>
            </w:r>
            <w:r w:rsidRPr="009B5F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team to deliver </w:t>
            </w:r>
            <w:r w:rsidR="00463A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challenge </w:t>
            </w:r>
            <w:r w:rsidRPr="009B5F19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and policy governance</w:t>
            </w:r>
            <w:r w:rsidR="00420262">
              <w:rPr>
                <w:rFonts w:ascii="Arial" w:hAnsi="Arial" w:cs="Arial"/>
                <w:color w:val="000000" w:themeColor="text1"/>
                <w:sz w:val="20"/>
                <w:szCs w:val="20"/>
              </w:rPr>
              <w:t>, third party management, technical training and quantum and escalation</w:t>
            </w:r>
            <w:r w:rsidRPr="009B5F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across MP&amp;S ensuring fair treatment for members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whilst being mindful of the membership fund</w:t>
            </w:r>
            <w:r w:rsidR="00463A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ensuring alignment and support to deliver on the overall MPS corporate strategy</w:t>
            </w:r>
            <w:r w:rsidR="009023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08CA51BF" w14:textId="77777777" w:rsidR="004A5E60" w:rsidRPr="00020936" w:rsidRDefault="004A5E60" w:rsidP="00463A88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Build and </w:t>
            </w:r>
            <w:r w:rsidRPr="004A5E6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develop information resources pertinent to governance including the development and maintenance of an MP&amp;S library of information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54AECC4D" w14:textId="77777777" w:rsidR="00861E84" w:rsidRPr="007803DA" w:rsidRDefault="00861E84" w:rsidP="004A5E60">
            <w:pPr>
              <w:pStyle w:val="ListParagraph"/>
              <w:rPr>
                <w:rFonts w:eastAsia="Calibri"/>
              </w:rPr>
            </w:pPr>
          </w:p>
        </w:tc>
        <w:tc>
          <w:tcPr>
            <w:tcW w:w="3149" w:type="dxa"/>
          </w:tcPr>
          <w:p w14:paraId="50E07D7D" w14:textId="77777777" w:rsidR="00C91CFA" w:rsidRPr="007803DA" w:rsidRDefault="00C91CFA" w:rsidP="00DA3570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803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Corporate Strategic priorities Vs plan</w:t>
            </w:r>
          </w:p>
          <w:p w14:paraId="4F3B043E" w14:textId="77777777" w:rsidR="00DA3570" w:rsidRPr="007803DA" w:rsidRDefault="009F0C20" w:rsidP="00DA3570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MP&amp;S plan</w:t>
            </w:r>
            <w:r w:rsidR="00DA3570" w:rsidRPr="007803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55D93" w:rsidRPr="007803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delivery </w:t>
            </w:r>
            <w:r w:rsidR="00DA3570" w:rsidRPr="007803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Vs plan</w:t>
            </w:r>
          </w:p>
          <w:p w14:paraId="261EA494" w14:textId="77777777" w:rsidR="00DA3570" w:rsidRDefault="00DA3570" w:rsidP="00DA3570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MP</w:t>
            </w:r>
            <w:r w:rsidR="00D87B00">
              <w:rPr>
                <w:rFonts w:ascii="Arial" w:eastAsia="Calibri" w:hAnsi="Arial" w:cs="Arial"/>
                <w:sz w:val="20"/>
                <w:szCs w:val="20"/>
                <w:lang w:val="fr-FR"/>
              </w:rPr>
              <w:t>&amp;</w:t>
            </w: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S engagement index Vs plan</w:t>
            </w:r>
          </w:p>
          <w:p w14:paraId="009C8462" w14:textId="77777777" w:rsidR="009E22D0" w:rsidRPr="00B75089" w:rsidRDefault="00DA3570" w:rsidP="0002093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MP</w:t>
            </w:r>
            <w:r w:rsidR="00D87B00">
              <w:rPr>
                <w:rFonts w:ascii="Arial" w:eastAsia="Calibri" w:hAnsi="Arial" w:cs="Arial"/>
                <w:sz w:val="20"/>
                <w:szCs w:val="20"/>
              </w:rPr>
              <w:t>&amp;</w:t>
            </w:r>
            <w:r>
              <w:rPr>
                <w:rFonts w:ascii="Arial" w:eastAsia="Calibri" w:hAnsi="Arial" w:cs="Arial"/>
                <w:sz w:val="20"/>
                <w:szCs w:val="20"/>
              </w:rPr>
              <w:t>S leadership index Vs plan</w:t>
            </w:r>
          </w:p>
        </w:tc>
      </w:tr>
      <w:tr w:rsidR="009E22D0" w:rsidRPr="00B75089" w14:paraId="12FF9E99" w14:textId="77777777" w:rsidTr="00020936">
        <w:trPr>
          <w:trHeight w:val="578"/>
        </w:trPr>
        <w:tc>
          <w:tcPr>
            <w:tcW w:w="7338" w:type="dxa"/>
          </w:tcPr>
          <w:p w14:paraId="060CEE79" w14:textId="77777777" w:rsidR="009E22D0" w:rsidRPr="007803DA" w:rsidRDefault="009E22D0" w:rsidP="00DA35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3DA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39254A46" w14:textId="48451D56" w:rsidR="00EE78B4" w:rsidRDefault="00463A88" w:rsidP="0058410C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Oversee </w:t>
            </w:r>
            <w:r w:rsidR="00EE78B4">
              <w:rPr>
                <w:rFonts w:ascii="Arial" w:hAnsi="Arial" w:cs="Arial"/>
                <w:sz w:val="20"/>
                <w:szCs w:val="20"/>
              </w:rPr>
              <w:t xml:space="preserve">the strategy and </w:t>
            </w:r>
            <w:r w:rsidR="00EE78B4" w:rsidRPr="0005646B">
              <w:rPr>
                <w:rFonts w:ascii="Arial" w:hAnsi="Arial" w:cs="Arial"/>
                <w:sz w:val="20"/>
                <w:szCs w:val="20"/>
              </w:rPr>
              <w:t xml:space="preserve">approach of </w:t>
            </w:r>
            <w:r w:rsidR="00EE78B4">
              <w:rPr>
                <w:rFonts w:ascii="Arial" w:hAnsi="Arial" w:cs="Arial"/>
                <w:sz w:val="20"/>
                <w:szCs w:val="20"/>
              </w:rPr>
              <w:t>t</w:t>
            </w:r>
            <w:r w:rsidR="00EE78B4" w:rsidRPr="0005646B">
              <w:rPr>
                <w:rFonts w:ascii="Arial" w:hAnsi="Arial" w:cs="Arial"/>
                <w:sz w:val="20"/>
                <w:szCs w:val="20"/>
              </w:rPr>
              <w:t>hird</w:t>
            </w:r>
            <w:r w:rsidR="00EE78B4">
              <w:rPr>
                <w:rFonts w:ascii="Arial" w:hAnsi="Arial" w:cs="Arial"/>
                <w:sz w:val="20"/>
                <w:szCs w:val="20"/>
              </w:rPr>
              <w:t>-p</w:t>
            </w:r>
            <w:r w:rsidR="00EE78B4" w:rsidRPr="0005646B">
              <w:rPr>
                <w:rFonts w:ascii="Arial" w:hAnsi="Arial" w:cs="Arial"/>
                <w:sz w:val="20"/>
                <w:szCs w:val="20"/>
              </w:rPr>
              <w:t>arty management</w:t>
            </w:r>
            <w:r w:rsidR="00BB14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the</w:t>
            </w:r>
            <w:r w:rsidR="00EE78B4">
              <w:rPr>
                <w:rFonts w:ascii="Arial" w:hAnsi="Arial" w:cs="Arial"/>
                <w:sz w:val="20"/>
                <w:szCs w:val="20"/>
              </w:rPr>
              <w:t xml:space="preserve"> auditing of panel and experts for Claims and Cases (UK and International) against service requirements and contractual terms ensuring they provid</w:t>
            </w:r>
            <w:r w:rsidR="008E65AC">
              <w:rPr>
                <w:rFonts w:ascii="Arial" w:hAnsi="Arial" w:cs="Arial"/>
                <w:sz w:val="20"/>
                <w:szCs w:val="20"/>
              </w:rPr>
              <w:t>e</w:t>
            </w:r>
            <w:r w:rsidR="00EE78B4">
              <w:rPr>
                <w:rFonts w:ascii="Arial" w:hAnsi="Arial" w:cs="Arial"/>
                <w:sz w:val="20"/>
                <w:szCs w:val="20"/>
              </w:rPr>
              <w:t xml:space="preserve"> a cost-effective service that continues to meet our needs</w:t>
            </w:r>
            <w:r w:rsidR="00EE78B4" w:rsidRPr="007803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9F2500" w14:textId="52A2C39D" w:rsidR="0058410C" w:rsidRPr="0058410C" w:rsidRDefault="00C62F3F" w:rsidP="0058410C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that</w:t>
            </w:r>
            <w:r w:rsidR="00463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10C">
              <w:rPr>
                <w:rFonts w:ascii="Arial" w:hAnsi="Arial" w:cs="Arial"/>
                <w:sz w:val="20"/>
                <w:szCs w:val="20"/>
              </w:rPr>
              <w:t xml:space="preserve">expert quantum advice </w:t>
            </w:r>
            <w:r w:rsidR="00463A88">
              <w:rPr>
                <w:rFonts w:ascii="Arial" w:hAnsi="Arial" w:cs="Arial"/>
                <w:sz w:val="20"/>
                <w:szCs w:val="20"/>
              </w:rPr>
              <w:t xml:space="preserve">is provided </w:t>
            </w:r>
            <w:r w:rsidR="00EE78B4">
              <w:rPr>
                <w:rFonts w:ascii="Arial" w:hAnsi="Arial" w:cs="Arial"/>
                <w:sz w:val="20"/>
                <w:szCs w:val="20"/>
              </w:rPr>
              <w:t xml:space="preserve">to Claims teams </w:t>
            </w:r>
            <w:r w:rsidR="00D512F9">
              <w:rPr>
                <w:rFonts w:ascii="Arial" w:hAnsi="Arial" w:cs="Arial"/>
                <w:sz w:val="20"/>
                <w:szCs w:val="20"/>
              </w:rPr>
              <w:t>across UK and International jurisdictions</w:t>
            </w:r>
            <w:r w:rsidR="008E65AC">
              <w:rPr>
                <w:rFonts w:ascii="Arial" w:hAnsi="Arial" w:cs="Arial"/>
                <w:sz w:val="20"/>
                <w:szCs w:val="20"/>
              </w:rPr>
              <w:t>;</w:t>
            </w:r>
            <w:r w:rsidR="00A006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F19">
              <w:rPr>
                <w:rFonts w:ascii="Arial" w:hAnsi="Arial" w:cs="Arial"/>
                <w:sz w:val="20"/>
                <w:szCs w:val="20"/>
              </w:rPr>
              <w:t>continually enhan</w:t>
            </w:r>
            <w:r>
              <w:rPr>
                <w:rFonts w:ascii="Arial" w:hAnsi="Arial" w:cs="Arial"/>
                <w:sz w:val="20"/>
                <w:szCs w:val="20"/>
              </w:rPr>
              <w:t>cing</w:t>
            </w:r>
            <w:r w:rsidR="009B5F19">
              <w:rPr>
                <w:rFonts w:ascii="Arial" w:hAnsi="Arial" w:cs="Arial"/>
                <w:sz w:val="20"/>
                <w:szCs w:val="20"/>
              </w:rPr>
              <w:t xml:space="preserve"> quantum policy </w:t>
            </w:r>
            <w:r w:rsidR="0058410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B5F19">
              <w:rPr>
                <w:rFonts w:ascii="Arial" w:hAnsi="Arial" w:cs="Arial"/>
                <w:sz w:val="20"/>
                <w:szCs w:val="20"/>
              </w:rPr>
              <w:t xml:space="preserve">optimise </w:t>
            </w:r>
            <w:r w:rsidR="0078492F">
              <w:rPr>
                <w:rFonts w:ascii="Arial" w:hAnsi="Arial" w:cs="Arial"/>
                <w:sz w:val="20"/>
                <w:szCs w:val="20"/>
              </w:rPr>
              <w:t>accuracy of claims reserve.</w:t>
            </w:r>
          </w:p>
          <w:p w14:paraId="1E8DA8B3" w14:textId="43D655D2" w:rsidR="00C62F3F" w:rsidRPr="00F35A13" w:rsidRDefault="00C62F3F" w:rsidP="00BE672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A13">
              <w:rPr>
                <w:rFonts w:ascii="Arial" w:hAnsi="Arial" w:cs="Arial"/>
                <w:sz w:val="20"/>
                <w:szCs w:val="20"/>
              </w:rPr>
              <w:t xml:space="preserve">Lead the development and ongoing management of </w:t>
            </w:r>
            <w:r>
              <w:rPr>
                <w:rFonts w:ascii="Arial" w:hAnsi="Arial" w:cs="Arial"/>
                <w:sz w:val="20"/>
                <w:szCs w:val="20"/>
              </w:rPr>
              <w:t xml:space="preserve">governance reporting and </w:t>
            </w:r>
            <w:r w:rsidRPr="00F35A13">
              <w:rPr>
                <w:rFonts w:ascii="Arial" w:hAnsi="Arial" w:cs="Arial"/>
                <w:sz w:val="20"/>
                <w:szCs w:val="20"/>
              </w:rPr>
              <w:t>operational metrics</w:t>
            </w:r>
            <w:r>
              <w:rPr>
                <w:rFonts w:ascii="Arial" w:hAnsi="Arial" w:cs="Arial"/>
                <w:sz w:val="20"/>
                <w:szCs w:val="20"/>
              </w:rPr>
              <w:t>, working with the centralised BI/MI team to drive</w:t>
            </w:r>
            <w:r w:rsidRPr="00F35A13">
              <w:rPr>
                <w:rFonts w:ascii="Arial" w:hAnsi="Arial" w:cs="Arial"/>
                <w:sz w:val="20"/>
                <w:szCs w:val="20"/>
              </w:rPr>
              <w:t xml:space="preserve"> an effective and efficient </w:t>
            </w:r>
            <w:r>
              <w:rPr>
                <w:rFonts w:ascii="Arial" w:hAnsi="Arial" w:cs="Arial"/>
                <w:sz w:val="20"/>
                <w:szCs w:val="20"/>
              </w:rPr>
              <w:t>Governance operation across MP&amp;S.</w:t>
            </w:r>
          </w:p>
          <w:p w14:paraId="04360191" w14:textId="77777777" w:rsidR="00086928" w:rsidRPr="00020936" w:rsidRDefault="0078492F" w:rsidP="00020936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 the </w:t>
            </w:r>
            <w:r w:rsidRPr="008F4BBC">
              <w:rPr>
                <w:rFonts w:ascii="Arial" w:hAnsi="Arial" w:cs="Arial"/>
                <w:sz w:val="20"/>
                <w:szCs w:val="20"/>
              </w:rPr>
              <w:t>setting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budget, and deliver to budget through spend</w:t>
            </w:r>
            <w:r w:rsidR="00A00688">
              <w:rPr>
                <w:rFonts w:ascii="Arial" w:hAnsi="Arial" w:cs="Arial"/>
                <w:sz w:val="20"/>
                <w:szCs w:val="20"/>
              </w:rPr>
              <w:t>,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governance and ensuring the effective and efficient performance of the team   </w:t>
            </w:r>
          </w:p>
        </w:tc>
        <w:tc>
          <w:tcPr>
            <w:tcW w:w="3149" w:type="dxa"/>
          </w:tcPr>
          <w:p w14:paraId="26E6B80D" w14:textId="77777777" w:rsidR="0078492F" w:rsidRPr="00B75089" w:rsidRDefault="0078492F" w:rsidP="0078492F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7C2F80CF" w14:textId="77777777" w:rsidR="0078492F" w:rsidRPr="00D77E67" w:rsidRDefault="0078492F" w:rsidP="0078492F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77E67">
              <w:rPr>
                <w:rFonts w:ascii="Arial" w:hAnsi="Arial" w:cs="Arial"/>
                <w:sz w:val="20"/>
                <w:szCs w:val="20"/>
              </w:rPr>
              <w:t>Operational performance (KPIs) Vs plan</w:t>
            </w:r>
          </w:p>
          <w:p w14:paraId="456D7BB3" w14:textId="77777777" w:rsidR="009E22D0" w:rsidRDefault="0078492F" w:rsidP="0078492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Claims / Case performance Vs plan</w:t>
            </w:r>
          </w:p>
          <w:p w14:paraId="142F52E1" w14:textId="77777777" w:rsidR="00086928" w:rsidRPr="0005646B" w:rsidRDefault="00086928" w:rsidP="0078492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646B">
              <w:rPr>
                <w:rFonts w:ascii="Arial" w:hAnsi="Arial" w:cs="Arial"/>
                <w:sz w:val="20"/>
                <w:szCs w:val="20"/>
              </w:rPr>
              <w:t>Panel and Internal Litigation performance metrics</w:t>
            </w:r>
          </w:p>
          <w:p w14:paraId="768B34D6" w14:textId="77777777" w:rsidR="00086928" w:rsidRPr="0005646B" w:rsidRDefault="00086928" w:rsidP="0078492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646B">
              <w:rPr>
                <w:rFonts w:ascii="Arial" w:hAnsi="Arial" w:cs="Arial"/>
                <w:sz w:val="20"/>
                <w:szCs w:val="20"/>
              </w:rPr>
              <w:t>Counsel performance metrics</w:t>
            </w:r>
          </w:p>
          <w:p w14:paraId="5576F14C" w14:textId="77777777" w:rsidR="00086928" w:rsidRPr="0005646B" w:rsidRDefault="00086928" w:rsidP="0078492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646B">
              <w:rPr>
                <w:rFonts w:ascii="Arial" w:hAnsi="Arial" w:cs="Arial"/>
                <w:sz w:val="20"/>
                <w:szCs w:val="20"/>
              </w:rPr>
              <w:t>Experts performance metrics</w:t>
            </w:r>
          </w:p>
          <w:p w14:paraId="4F13DEAE" w14:textId="77777777" w:rsidR="00086928" w:rsidRPr="0005646B" w:rsidRDefault="00086928" w:rsidP="0078492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646B">
              <w:rPr>
                <w:rFonts w:ascii="Arial" w:hAnsi="Arial" w:cs="Arial"/>
                <w:sz w:val="20"/>
                <w:szCs w:val="20"/>
              </w:rPr>
              <w:t>Internal Costs performance metrics</w:t>
            </w:r>
          </w:p>
          <w:p w14:paraId="48528C88" w14:textId="77777777" w:rsidR="00086928" w:rsidRPr="0005646B" w:rsidRDefault="00086928" w:rsidP="00086928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1E616A6" w14:textId="77777777" w:rsidR="0078492F" w:rsidRPr="007803DA" w:rsidRDefault="0078492F" w:rsidP="000772D7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3A4597C8" w14:textId="77777777" w:rsidTr="00020936">
        <w:trPr>
          <w:trHeight w:val="578"/>
        </w:trPr>
        <w:tc>
          <w:tcPr>
            <w:tcW w:w="7338" w:type="dxa"/>
          </w:tcPr>
          <w:p w14:paraId="73740136" w14:textId="77777777" w:rsidR="009E22D0" w:rsidRDefault="009E22D0" w:rsidP="00DA35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445F6635" w14:textId="77777777" w:rsidR="00752EE5" w:rsidRPr="00752EE5" w:rsidRDefault="0030154C" w:rsidP="00020936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color w:val="000000"/>
              </w:rPr>
            </w:pPr>
            <w:r w:rsidRPr="00752EE5">
              <w:rPr>
                <w:rFonts w:ascii="Arial" w:hAnsi="Arial" w:cs="Arial"/>
                <w:sz w:val="20"/>
                <w:szCs w:val="20"/>
              </w:rPr>
              <w:t>Lead</w:t>
            </w:r>
            <w:r w:rsidR="00952856" w:rsidRPr="00752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71A" w:rsidRPr="00752EE5">
              <w:rPr>
                <w:rFonts w:ascii="Arial" w:hAnsi="Arial" w:cs="Arial"/>
                <w:sz w:val="20"/>
                <w:szCs w:val="20"/>
              </w:rPr>
              <w:t>the team</w:t>
            </w:r>
            <w:r w:rsidR="00952856" w:rsidRPr="00752EE5">
              <w:rPr>
                <w:rFonts w:ascii="Arial" w:hAnsi="Arial" w:cs="Arial"/>
                <w:sz w:val="20"/>
                <w:szCs w:val="20"/>
              </w:rPr>
              <w:t xml:space="preserve"> to ensure fair treatment and outcomes for members and compliance with associated policies and standards set out by Council, its committees and delegated authorities.</w:t>
            </w:r>
          </w:p>
          <w:p w14:paraId="1AE0E72F" w14:textId="77777777" w:rsidR="00952856" w:rsidRPr="00752EE5" w:rsidRDefault="00952856" w:rsidP="00020936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EE5">
              <w:rPr>
                <w:rFonts w:ascii="Arial" w:hAnsi="Arial" w:cs="Arial"/>
                <w:sz w:val="20"/>
                <w:szCs w:val="20"/>
              </w:rPr>
              <w:lastRenderedPageBreak/>
              <w:t xml:space="preserve">Establish a culture and capability in Lean / continuous improvement </w:t>
            </w:r>
            <w:r w:rsidRPr="00752EE5">
              <w:rPr>
                <w:rFonts w:ascii="Arial" w:hAnsi="Arial" w:cs="Arial"/>
                <w:color w:val="000000"/>
                <w:sz w:val="20"/>
                <w:szCs w:val="20"/>
              </w:rPr>
              <w:t>to drive operational efficiency and great member experiences and outcomes</w:t>
            </w:r>
          </w:p>
          <w:p w14:paraId="4111A714" w14:textId="77777777" w:rsidR="009E22D0" w:rsidRPr="000C38FE" w:rsidRDefault="00952856" w:rsidP="00F31982">
            <w:pPr>
              <w:pStyle w:val="CommentText"/>
              <w:numPr>
                <w:ilvl w:val="0"/>
                <w:numId w:val="15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</w:rPr>
            </w:pPr>
            <w:r w:rsidRPr="005E633A">
              <w:rPr>
                <w:rFonts w:ascii="Arial" w:hAnsi="Arial" w:cs="Arial"/>
                <w:color w:val="000000"/>
              </w:rPr>
              <w:t xml:space="preserve">Use Member Experience insight </w:t>
            </w:r>
            <w:r w:rsidR="00752EE5">
              <w:rPr>
                <w:rFonts w:ascii="Arial" w:hAnsi="Arial" w:cs="Arial"/>
                <w:color w:val="000000"/>
              </w:rPr>
              <w:t xml:space="preserve">and MI/BI </w:t>
            </w:r>
            <w:r w:rsidRPr="005E633A">
              <w:rPr>
                <w:rFonts w:ascii="Arial" w:hAnsi="Arial" w:cs="Arial"/>
                <w:color w:val="000000"/>
              </w:rPr>
              <w:t>to inspire strategy and plans and ensure that teams put members at the heart of all they do.</w:t>
            </w:r>
          </w:p>
          <w:p w14:paraId="5D437C29" w14:textId="77777777" w:rsidR="000C38FE" w:rsidRPr="008E65AC" w:rsidRDefault="008E65AC" w:rsidP="00020936">
            <w:pPr>
              <w:pStyle w:val="CommentText"/>
              <w:numPr>
                <w:ilvl w:val="0"/>
                <w:numId w:val="15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Enable leaders to proactively workforce plan by coordinating the requirements from other Divisions on MP&amp;S resource to support on external events, education, conferences and member communications.</w:t>
            </w:r>
          </w:p>
        </w:tc>
        <w:tc>
          <w:tcPr>
            <w:tcW w:w="3149" w:type="dxa"/>
          </w:tcPr>
          <w:p w14:paraId="00FF1F31" w14:textId="77777777" w:rsidR="005E633A" w:rsidRDefault="005E633A" w:rsidP="00C62F3F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Net promoter score</w:t>
            </w:r>
          </w:p>
          <w:p w14:paraId="565C5CA9" w14:textId="77777777" w:rsidR="005E633A" w:rsidRDefault="005E633A" w:rsidP="00C62F3F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/ root cause analysis</w:t>
            </w:r>
          </w:p>
          <w:p w14:paraId="305BB2A3" w14:textId="77777777" w:rsidR="00F25ED5" w:rsidRDefault="005E633A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5ED5"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48E0E417" w14:textId="7C132B9E" w:rsidR="00F25ED5" w:rsidRDefault="00F25ED5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Member Experience Scores</w:t>
            </w:r>
          </w:p>
          <w:p w14:paraId="112133FD" w14:textId="77777777" w:rsidR="00C62F3F" w:rsidRPr="00FD6286" w:rsidRDefault="00C62F3F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  <w:p w14:paraId="769B2E21" w14:textId="77777777" w:rsidR="009E22D0" w:rsidRPr="00BE672E" w:rsidRDefault="009E22D0" w:rsidP="00BE672E">
            <w:pPr>
              <w:pStyle w:val="ListParagraph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430B64F3" w14:textId="77777777" w:rsidTr="008D494F">
        <w:trPr>
          <w:trHeight w:val="1760"/>
        </w:trPr>
        <w:tc>
          <w:tcPr>
            <w:tcW w:w="7338" w:type="dxa"/>
            <w:shd w:val="clear" w:color="auto" w:fill="auto"/>
          </w:tcPr>
          <w:p w14:paraId="1ADCADCC" w14:textId="77777777" w:rsidR="009E22D0" w:rsidRPr="007803DA" w:rsidRDefault="009E22D0" w:rsidP="00E343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3DA">
              <w:rPr>
                <w:rFonts w:ascii="Arial" w:hAnsi="Arial" w:cs="Arial"/>
                <w:b/>
                <w:sz w:val="20"/>
                <w:szCs w:val="20"/>
              </w:rPr>
              <w:lastRenderedPageBreak/>
              <w:t>People</w:t>
            </w:r>
          </w:p>
          <w:p w14:paraId="1F04324B" w14:textId="77777777" w:rsidR="005E633A" w:rsidRPr="00840222" w:rsidRDefault="00BD54DF" w:rsidP="00CF1FB7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03DA">
              <w:rPr>
                <w:rFonts w:ascii="Arial" w:hAnsi="Arial" w:cs="Arial"/>
                <w:sz w:val="20"/>
                <w:szCs w:val="20"/>
              </w:rPr>
              <w:t>Provide strong</w:t>
            </w:r>
            <w:r w:rsidR="005E633A" w:rsidRPr="007803DA">
              <w:rPr>
                <w:rFonts w:ascii="Arial" w:hAnsi="Arial" w:cs="Arial"/>
                <w:sz w:val="20"/>
                <w:szCs w:val="20"/>
              </w:rPr>
              <w:t xml:space="preserve"> leadership to ensure the training, competence, performance and engagement of </w:t>
            </w:r>
            <w:r w:rsidR="00840222">
              <w:rPr>
                <w:rFonts w:ascii="Arial" w:hAnsi="Arial" w:cs="Arial"/>
                <w:sz w:val="20"/>
                <w:szCs w:val="20"/>
              </w:rPr>
              <w:t>the team,</w:t>
            </w:r>
            <w:r w:rsidR="005E633A" w:rsidRPr="007803DA">
              <w:rPr>
                <w:rFonts w:ascii="Arial" w:hAnsi="Arial" w:cs="Arial"/>
                <w:sz w:val="20"/>
                <w:szCs w:val="20"/>
              </w:rPr>
              <w:t xml:space="preserve"> ensuring they have clarity on their accountabilities and comply with all governance, policy standards and processes.</w:t>
            </w:r>
          </w:p>
          <w:p w14:paraId="4A2F69DB" w14:textId="7A5136F5" w:rsidR="0005646B" w:rsidRPr="007803DA" w:rsidRDefault="005E633A" w:rsidP="008D494F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3DA">
              <w:rPr>
                <w:rFonts w:ascii="Arial" w:hAnsi="Arial" w:cs="Arial"/>
                <w:sz w:val="20"/>
                <w:szCs w:val="20"/>
              </w:rPr>
              <w:t>Build a strong pipeline of talent and succession across MP&amp;S for the benefit of MPS which will mitigate workforce planning risks and maximises the performance and potential of employees.</w:t>
            </w:r>
          </w:p>
        </w:tc>
        <w:tc>
          <w:tcPr>
            <w:tcW w:w="3149" w:type="dxa"/>
            <w:shd w:val="clear" w:color="auto" w:fill="auto"/>
          </w:tcPr>
          <w:p w14:paraId="17FCE335" w14:textId="77777777" w:rsidR="009E22D0" w:rsidRPr="007803DA" w:rsidRDefault="009E22D0" w:rsidP="00DA3570">
            <w:pPr>
              <w:pStyle w:val="ListParagraph"/>
              <w:numPr>
                <w:ilvl w:val="0"/>
                <w:numId w:val="4"/>
              </w:numPr>
              <w:spacing w:after="0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7803DA">
              <w:rPr>
                <w:rFonts w:ascii="Arial" w:hAnsi="Arial" w:cs="Arial"/>
                <w:sz w:val="20"/>
                <w:szCs w:val="20"/>
              </w:rPr>
              <w:t>Engagement Index Vs MPS</w:t>
            </w:r>
          </w:p>
          <w:p w14:paraId="5BA52A44" w14:textId="77777777" w:rsidR="009E22D0" w:rsidRPr="007803DA" w:rsidRDefault="009E22D0" w:rsidP="00DA3570">
            <w:pPr>
              <w:pStyle w:val="ListParagraph"/>
              <w:numPr>
                <w:ilvl w:val="0"/>
                <w:numId w:val="4"/>
              </w:numPr>
              <w:spacing w:after="0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7803DA">
              <w:rPr>
                <w:rFonts w:ascii="Arial" w:hAnsi="Arial" w:cs="Arial"/>
                <w:sz w:val="20"/>
                <w:szCs w:val="20"/>
              </w:rPr>
              <w:t>Leadership Index Vs MPS</w:t>
            </w:r>
          </w:p>
          <w:p w14:paraId="6A534D84" w14:textId="77777777" w:rsidR="009E22D0" w:rsidRPr="007803DA" w:rsidRDefault="009E22D0" w:rsidP="00DA3570">
            <w:pPr>
              <w:pStyle w:val="ListParagraph"/>
              <w:numPr>
                <w:ilvl w:val="0"/>
                <w:numId w:val="4"/>
              </w:numPr>
              <w:spacing w:after="0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7803DA"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  <w:p w14:paraId="18D1A07D" w14:textId="68DEA8C6" w:rsidR="009E22D0" w:rsidRPr="007803DA" w:rsidRDefault="008D494F" w:rsidP="00DA3570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m</w:t>
            </w:r>
            <w:r w:rsidR="009E22D0" w:rsidRPr="007803DA">
              <w:rPr>
                <w:rFonts w:ascii="Arial" w:hAnsi="Arial" w:cs="Arial"/>
                <w:sz w:val="20"/>
                <w:szCs w:val="20"/>
              </w:rPr>
              <w:t>etrics – attrition, absence</w:t>
            </w:r>
          </w:p>
          <w:p w14:paraId="3D06A597" w14:textId="77777777" w:rsidR="005E633A" w:rsidRPr="007803DA" w:rsidRDefault="005E633A" w:rsidP="00DA3570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7803DA"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</w:p>
        </w:tc>
      </w:tr>
      <w:tr w:rsidR="009E22D0" w:rsidRPr="00B75089" w14:paraId="1158A29B" w14:textId="77777777" w:rsidTr="00020936">
        <w:trPr>
          <w:trHeight w:val="591"/>
        </w:trPr>
        <w:tc>
          <w:tcPr>
            <w:tcW w:w="7338" w:type="dxa"/>
            <w:shd w:val="clear" w:color="auto" w:fill="auto"/>
          </w:tcPr>
          <w:p w14:paraId="272CA8FA" w14:textId="77777777" w:rsidR="009E22D0" w:rsidRPr="007803DA" w:rsidRDefault="009E22D0" w:rsidP="00E343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3DA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775B4B78" w14:textId="77777777" w:rsidR="005E633A" w:rsidRPr="007803DA" w:rsidRDefault="005E633A" w:rsidP="00020936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3DA">
              <w:rPr>
                <w:rFonts w:ascii="Arial" w:hAnsi="Arial" w:cs="Arial"/>
                <w:sz w:val="20"/>
                <w:szCs w:val="20"/>
              </w:rPr>
              <w:t xml:space="preserve">Create an environment where all colleagues in </w:t>
            </w:r>
            <w:r w:rsidR="00657AC0">
              <w:rPr>
                <w:rFonts w:ascii="Arial" w:hAnsi="Arial" w:cs="Arial"/>
                <w:sz w:val="20"/>
                <w:szCs w:val="20"/>
              </w:rPr>
              <w:t>the team</w:t>
            </w:r>
            <w:r w:rsidRPr="007803DA">
              <w:rPr>
                <w:rFonts w:ascii="Arial" w:hAnsi="Arial" w:cs="Arial"/>
                <w:sz w:val="20"/>
                <w:szCs w:val="20"/>
              </w:rPr>
              <w:t xml:space="preserve"> recognise the importance of risk identification and management </w:t>
            </w:r>
          </w:p>
          <w:p w14:paraId="046B33D5" w14:textId="734E12F9" w:rsidR="005E633A" w:rsidRPr="0005646B" w:rsidRDefault="0066627F" w:rsidP="00020936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F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Ensure appropriate business processes and controls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in place</w:t>
            </w:r>
            <w:r w:rsidRPr="00EF5F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E633A" w:rsidRPr="007803DA">
              <w:rPr>
                <w:rFonts w:ascii="Arial" w:hAnsi="Arial" w:cs="Arial"/>
                <w:sz w:val="20"/>
                <w:szCs w:val="20"/>
              </w:rPr>
              <w:t xml:space="preserve">to manage </w:t>
            </w:r>
            <w:r>
              <w:rPr>
                <w:rFonts w:ascii="Arial" w:hAnsi="Arial" w:cs="Arial"/>
                <w:sz w:val="20"/>
                <w:szCs w:val="20"/>
              </w:rPr>
              <w:t>governance within MP&amp;S</w:t>
            </w:r>
            <w:r w:rsidR="00657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33A" w:rsidRPr="007803DA">
              <w:rPr>
                <w:rFonts w:ascii="Arial" w:hAnsi="Arial" w:cs="Arial"/>
                <w:sz w:val="20"/>
                <w:szCs w:val="20"/>
              </w:rPr>
              <w:t xml:space="preserve">within risk appetite; comply with policies and regulatory </w:t>
            </w:r>
            <w:r w:rsidR="005E633A" w:rsidRPr="0005646B">
              <w:rPr>
                <w:rFonts w:ascii="Arial" w:hAnsi="Arial" w:cs="Arial"/>
                <w:sz w:val="20"/>
                <w:szCs w:val="20"/>
              </w:rPr>
              <w:t xml:space="preserve">requirements (as applicable). </w:t>
            </w:r>
          </w:p>
          <w:p w14:paraId="1FB021F6" w14:textId="153AD09D" w:rsidR="00B53D3A" w:rsidRDefault="00B53D3A" w:rsidP="00020936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Offer meaningful decision points to </w:t>
            </w:r>
            <w:r w:rsidR="0066627F">
              <w:rPr>
                <w:rFonts w:ascii="Arial" w:hAnsi="Arial" w:cs="Arial"/>
                <w:sz w:val="20"/>
                <w:szCs w:val="20"/>
              </w:rPr>
              <w:t>MP&amp;S</w:t>
            </w:r>
            <w:r>
              <w:rPr>
                <w:rFonts w:ascii="Arial" w:hAnsi="Arial" w:cs="Arial"/>
                <w:sz w:val="20"/>
                <w:szCs w:val="20"/>
              </w:rPr>
              <w:t xml:space="preserve"> governance forums to ensure that MPS operates within risk appetite, and decision makers are fully informed and equipped as to where financial opportunities exist.</w:t>
            </w:r>
          </w:p>
          <w:p w14:paraId="43139AF5" w14:textId="0D2961B0" w:rsidR="009E22D0" w:rsidRPr="00020936" w:rsidRDefault="00086928" w:rsidP="00020936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46B">
              <w:rPr>
                <w:rFonts w:ascii="Arial" w:hAnsi="Arial" w:cs="Arial"/>
                <w:sz w:val="20"/>
                <w:szCs w:val="20"/>
              </w:rPr>
              <w:t>Provide support and guidance on</w:t>
            </w:r>
            <w:r w:rsidR="00232484">
              <w:rPr>
                <w:rFonts w:ascii="Arial" w:hAnsi="Arial" w:cs="Arial"/>
                <w:sz w:val="20"/>
                <w:szCs w:val="20"/>
              </w:rPr>
              <w:t xml:space="preserve">, Health Care Protection, Discretionary </w:t>
            </w:r>
            <w:r w:rsidR="005A34B8">
              <w:rPr>
                <w:rFonts w:ascii="Arial" w:hAnsi="Arial" w:cs="Arial"/>
                <w:sz w:val="20"/>
                <w:szCs w:val="20"/>
              </w:rPr>
              <w:t>Services and NH</w:t>
            </w:r>
            <w:r w:rsidRPr="0005646B">
              <w:rPr>
                <w:rFonts w:ascii="Arial" w:hAnsi="Arial" w:cs="Arial"/>
                <w:sz w:val="20"/>
                <w:szCs w:val="20"/>
              </w:rPr>
              <w:t>SR contracts</w:t>
            </w:r>
          </w:p>
        </w:tc>
        <w:tc>
          <w:tcPr>
            <w:tcW w:w="3149" w:type="dxa"/>
            <w:shd w:val="clear" w:color="auto" w:fill="auto"/>
          </w:tcPr>
          <w:p w14:paraId="622C7282" w14:textId="77777777" w:rsidR="005E633A" w:rsidRPr="0005646B" w:rsidRDefault="009E22D0" w:rsidP="000869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5646B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5E31C655" w14:textId="77777777" w:rsidR="00086928" w:rsidRPr="0005646B" w:rsidRDefault="009E22D0" w:rsidP="00086928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5646B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3692944E" w14:textId="77777777" w:rsidR="005E633A" w:rsidRPr="0005646B" w:rsidRDefault="005E633A" w:rsidP="000869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5646B">
              <w:rPr>
                <w:rFonts w:ascii="Arial" w:eastAsia="Calibri" w:hAnsi="Arial" w:cs="Arial"/>
                <w:sz w:val="20"/>
                <w:szCs w:val="20"/>
              </w:rPr>
              <w:t>QA Outcomes</w:t>
            </w:r>
          </w:p>
          <w:p w14:paraId="30503D9E" w14:textId="77777777" w:rsidR="00086928" w:rsidRPr="0005646B" w:rsidRDefault="00086928" w:rsidP="0008692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646B">
              <w:rPr>
                <w:rFonts w:ascii="Arial" w:hAnsi="Arial" w:cs="Arial"/>
                <w:sz w:val="20"/>
                <w:szCs w:val="20"/>
              </w:rPr>
              <w:t>External auditing metrics</w:t>
            </w:r>
          </w:p>
        </w:tc>
      </w:tr>
    </w:tbl>
    <w:p w14:paraId="1062BD5F" w14:textId="77777777" w:rsidR="00FB4711" w:rsidRPr="00E34340" w:rsidRDefault="00FB4711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3C9E4FE3" w14:textId="77777777" w:rsidTr="00E34340">
        <w:trPr>
          <w:trHeight w:val="45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3707ADAB" w14:textId="77777777" w:rsidR="009E22D0" w:rsidRPr="00B75089" w:rsidRDefault="009E22D0" w:rsidP="00E343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E3434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179E3218" w14:textId="77777777" w:rsidTr="00FF16B8">
        <w:trPr>
          <w:trHeight w:val="693"/>
        </w:trPr>
        <w:tc>
          <w:tcPr>
            <w:tcW w:w="10490" w:type="dxa"/>
          </w:tcPr>
          <w:p w14:paraId="206B9E58" w14:textId="77777777" w:rsidR="0005646B" w:rsidRPr="00020936" w:rsidRDefault="004A5E60" w:rsidP="00020936">
            <w:pPr>
              <w:pStyle w:val="ListParagraph"/>
              <w:numPr>
                <w:ilvl w:val="0"/>
                <w:numId w:val="7"/>
              </w:numPr>
              <w:spacing w:after="0"/>
              <w:ind w:left="176" w:hanging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5646B" w:rsidRPr="006A0D9F">
              <w:rPr>
                <w:rFonts w:ascii="Arial" w:hAnsi="Arial" w:cs="Arial"/>
                <w:sz w:val="20"/>
                <w:szCs w:val="20"/>
              </w:rPr>
              <w:t xml:space="preserve">ttend governance meetings or forums within MP&amp;S and wider MPS, as required and maintain and develop internal and external networks. </w:t>
            </w:r>
          </w:p>
          <w:p w14:paraId="5BA65881" w14:textId="77777777" w:rsidR="00F25ED5" w:rsidRPr="00F25ED5" w:rsidRDefault="00E34340" w:rsidP="00F31982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D9F">
              <w:rPr>
                <w:rFonts w:ascii="Arial" w:hAnsi="Arial" w:cs="Arial"/>
                <w:sz w:val="20"/>
                <w:szCs w:val="20"/>
              </w:rPr>
              <w:t>Undertake other duties and tasks that from time to time may be required and that are appropriate to the role</w:t>
            </w:r>
          </w:p>
        </w:tc>
      </w:tr>
    </w:tbl>
    <w:p w14:paraId="2AF48568" w14:textId="77777777" w:rsidR="00861E84" w:rsidRPr="00E34340" w:rsidRDefault="00861E84" w:rsidP="00B75089">
      <w:pPr>
        <w:spacing w:line="240" w:lineRule="auto"/>
        <w:rPr>
          <w:rFonts w:ascii="Arial" w:hAnsi="Arial" w:cs="Arial"/>
          <w:sz w:val="2"/>
        </w:rPr>
      </w:pPr>
    </w:p>
    <w:p w14:paraId="1CFF9F9A" w14:textId="77777777" w:rsidR="005542D1" w:rsidRPr="00E34340" w:rsidRDefault="005542D1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1F71C91D" w14:textId="77777777" w:rsidTr="00E34340">
        <w:trPr>
          <w:trHeight w:val="329"/>
        </w:trPr>
        <w:tc>
          <w:tcPr>
            <w:tcW w:w="6008" w:type="dxa"/>
            <w:shd w:val="clear" w:color="auto" w:fill="D9D9D9" w:themeFill="background1" w:themeFillShade="D9"/>
            <w:vAlign w:val="center"/>
          </w:tcPr>
          <w:p w14:paraId="159A8EEB" w14:textId="77777777" w:rsidR="0056188D" w:rsidRPr="00B75089" w:rsidRDefault="00C91CFA" w:rsidP="00E343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  <w:vAlign w:val="center"/>
          </w:tcPr>
          <w:p w14:paraId="65699B25" w14:textId="77777777" w:rsidR="0056188D" w:rsidRPr="00B75089" w:rsidRDefault="00C91CFA" w:rsidP="00E343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75089" w14:paraId="54751973" w14:textId="77777777" w:rsidTr="00FF16B8">
        <w:trPr>
          <w:trHeight w:val="211"/>
        </w:trPr>
        <w:tc>
          <w:tcPr>
            <w:tcW w:w="6008" w:type="dxa"/>
          </w:tcPr>
          <w:p w14:paraId="6B3D1BE0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22633F03" w14:textId="77777777" w:rsidR="0056188D" w:rsidRPr="00B75089" w:rsidRDefault="005E633A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3B1C04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B75089" w14:paraId="55A51E6B" w14:textId="77777777" w:rsidTr="00FF16B8">
        <w:trPr>
          <w:trHeight w:val="211"/>
        </w:trPr>
        <w:tc>
          <w:tcPr>
            <w:tcW w:w="6008" w:type="dxa"/>
          </w:tcPr>
          <w:p w14:paraId="2B5E35E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5847CD8A" w14:textId="30F9D2A3" w:rsidR="004D18E8" w:rsidRPr="00B75089" w:rsidRDefault="005E633A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14:paraId="748AE826" w14:textId="77777777" w:rsidTr="00FF16B8">
        <w:trPr>
          <w:trHeight w:val="211"/>
        </w:trPr>
        <w:tc>
          <w:tcPr>
            <w:tcW w:w="6008" w:type="dxa"/>
          </w:tcPr>
          <w:p w14:paraId="3A8CCF4E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46F9B469" w14:textId="77777777" w:rsidR="004D18E8" w:rsidRPr="00B75089" w:rsidRDefault="005E633A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3B1C04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B75089" w14:paraId="79F26D43" w14:textId="77777777" w:rsidTr="00FF16B8">
        <w:trPr>
          <w:trHeight w:val="211"/>
        </w:trPr>
        <w:tc>
          <w:tcPr>
            <w:tcW w:w="6008" w:type="dxa"/>
          </w:tcPr>
          <w:p w14:paraId="0FF8E90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5B0F6DC1" w14:textId="0C61CC76" w:rsidR="004D18E8" w:rsidRPr="00B75089" w:rsidRDefault="005E633A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66627F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</w:tr>
      <w:tr w:rsidR="004D18E8" w:rsidRPr="00B75089" w14:paraId="3B266CF7" w14:textId="77777777" w:rsidTr="00FF16B8">
        <w:trPr>
          <w:trHeight w:val="211"/>
        </w:trPr>
        <w:tc>
          <w:tcPr>
            <w:tcW w:w="6008" w:type="dxa"/>
          </w:tcPr>
          <w:p w14:paraId="64568F9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67D03FA4" w14:textId="1EED91E7" w:rsidR="004D18E8" w:rsidRPr="00B75089" w:rsidRDefault="005E633A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BB145B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</w:tr>
      <w:tr w:rsidR="004D18E8" w:rsidRPr="00B75089" w14:paraId="2184C2F2" w14:textId="77777777" w:rsidTr="00FF16B8">
        <w:trPr>
          <w:trHeight w:val="211"/>
        </w:trPr>
        <w:tc>
          <w:tcPr>
            <w:tcW w:w="6008" w:type="dxa"/>
          </w:tcPr>
          <w:p w14:paraId="4C2F1945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45E9483A" w14:textId="1B0305E4" w:rsidR="004D18E8" w:rsidRPr="00B75089" w:rsidRDefault="005E633A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66627F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</w:tr>
    </w:tbl>
    <w:p w14:paraId="5623CE96" w14:textId="07926F43" w:rsidR="00A24E23" w:rsidRDefault="00A24E23" w:rsidP="00B75089">
      <w:pPr>
        <w:spacing w:line="240" w:lineRule="auto"/>
        <w:rPr>
          <w:rFonts w:ascii="Arial" w:hAnsi="Arial" w:cs="Arial"/>
        </w:rPr>
      </w:pPr>
    </w:p>
    <w:p w14:paraId="17C313BE" w14:textId="77777777" w:rsidR="006848CF" w:rsidRDefault="006848CF" w:rsidP="00B75089">
      <w:pPr>
        <w:spacing w:line="240" w:lineRule="auto"/>
        <w:rPr>
          <w:rFonts w:ascii="Arial" w:hAnsi="Arial" w:cs="Arial"/>
        </w:rPr>
      </w:pPr>
    </w:p>
    <w:p w14:paraId="2E86BAEA" w14:textId="67096FD9" w:rsidR="00D1385C" w:rsidRDefault="00D1385C" w:rsidP="00B75089">
      <w:pPr>
        <w:spacing w:line="240" w:lineRule="auto"/>
        <w:rPr>
          <w:rFonts w:ascii="Arial" w:hAnsi="Arial" w:cs="Arial"/>
        </w:rPr>
      </w:pPr>
    </w:p>
    <w:p w14:paraId="7014C30D" w14:textId="678BC727" w:rsidR="00BE672E" w:rsidRDefault="00BE672E" w:rsidP="00B75089">
      <w:pPr>
        <w:spacing w:line="240" w:lineRule="auto"/>
        <w:rPr>
          <w:rFonts w:ascii="Arial" w:hAnsi="Arial" w:cs="Arial"/>
        </w:rPr>
      </w:pPr>
    </w:p>
    <w:p w14:paraId="7863FFB4" w14:textId="2F5582BE" w:rsidR="00BE672E" w:rsidRDefault="00BE672E" w:rsidP="00B75089">
      <w:pPr>
        <w:spacing w:line="240" w:lineRule="auto"/>
        <w:rPr>
          <w:rFonts w:ascii="Arial" w:hAnsi="Arial" w:cs="Arial"/>
        </w:rPr>
      </w:pPr>
    </w:p>
    <w:p w14:paraId="7E8591A8" w14:textId="77777777" w:rsidR="00BE672E" w:rsidRDefault="00BE672E" w:rsidP="00B75089">
      <w:pPr>
        <w:spacing w:line="240" w:lineRule="auto"/>
        <w:rPr>
          <w:rFonts w:ascii="Arial" w:hAnsi="Arial" w:cs="Arial"/>
        </w:rPr>
      </w:pPr>
    </w:p>
    <w:tbl>
      <w:tblPr>
        <w:tblStyle w:val="TableGrid1"/>
        <w:tblpPr w:leftFromText="180" w:rightFromText="180" w:topFromText="100" w:bottomFromText="100" w:vertAnchor="text" w:horzAnchor="page" w:tblpX="946" w:tblpY="440"/>
        <w:tblW w:w="10740" w:type="dxa"/>
        <w:tblLook w:val="04A0" w:firstRow="1" w:lastRow="0" w:firstColumn="1" w:lastColumn="0" w:noHBand="0" w:noVBand="1"/>
      </w:tblPr>
      <w:tblGrid>
        <w:gridCol w:w="3371"/>
        <w:gridCol w:w="3851"/>
        <w:gridCol w:w="3518"/>
      </w:tblGrid>
      <w:tr w:rsidR="00D1385C" w14:paraId="57D1B977" w14:textId="77777777" w:rsidTr="00D1385C">
        <w:trPr>
          <w:trHeight w:val="21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5656F4" w14:textId="77777777" w:rsidR="00D1385C" w:rsidRDefault="00D1385C" w:rsidP="00D1385C">
            <w:pPr>
              <w:spacing w:beforeAutospacing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Knowledge and Qualifications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5291D9" w14:textId="77777777" w:rsidR="00D1385C" w:rsidRDefault="00D1385C" w:rsidP="00D1385C">
            <w:pPr>
              <w:spacing w:beforeAutospacing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B22F6A" w14:textId="77777777" w:rsidR="00D1385C" w:rsidRDefault="00D1385C" w:rsidP="00D1385C">
            <w:pPr>
              <w:spacing w:beforeAutospacing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D1385C" w:rsidRPr="006A0D9F" w14:paraId="452B486E" w14:textId="77777777" w:rsidTr="00B23A38">
        <w:trPr>
          <w:cantSplit/>
          <w:trHeight w:val="22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46AE" w14:textId="2E848AE4" w:rsidR="00D1385C" w:rsidRDefault="00B23A38" w:rsidP="00C930F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knowledge of control and governance frameworks</w:t>
            </w:r>
          </w:p>
          <w:p w14:paraId="2DD123AC" w14:textId="37F0210F" w:rsidR="00B23A38" w:rsidRPr="006A0D9F" w:rsidRDefault="006848CF" w:rsidP="00C930F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in r</w:t>
            </w:r>
            <w:r w:rsidR="00B23A38">
              <w:rPr>
                <w:rFonts w:ascii="Arial" w:hAnsi="Arial" w:cs="Arial"/>
                <w:sz w:val="20"/>
                <w:szCs w:val="20"/>
              </w:rPr>
              <w:t>isk and compliance management</w:t>
            </w:r>
          </w:p>
          <w:p w14:paraId="31B7F5B8" w14:textId="26501F38" w:rsidR="00522418" w:rsidRPr="003E1BBD" w:rsidRDefault="00522418" w:rsidP="00B23A38">
            <w:pPr>
              <w:pStyle w:val="ListParagraph"/>
              <w:ind w:left="36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266E" w14:textId="4914C543" w:rsidR="00D1385C" w:rsidRPr="006A0D9F" w:rsidRDefault="00B23A38" w:rsidP="00D1385C">
            <w:pPr>
              <w:pStyle w:val="ListParagraph"/>
              <w:numPr>
                <w:ilvl w:val="0"/>
                <w:numId w:val="30"/>
              </w:numPr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influence and manage </w:t>
            </w:r>
            <w:r w:rsidR="00D1385C" w:rsidRPr="006A0D9F">
              <w:rPr>
                <w:rFonts w:ascii="Arial" w:hAnsi="Arial" w:cs="Arial"/>
                <w:sz w:val="20"/>
                <w:szCs w:val="20"/>
              </w:rPr>
              <w:t xml:space="preserve">internal and external stakeholders </w:t>
            </w:r>
          </w:p>
          <w:p w14:paraId="788B304F" w14:textId="77777777" w:rsidR="00D1385C" w:rsidRPr="006A0D9F" w:rsidRDefault="00D1385C" w:rsidP="00D1385C">
            <w:pPr>
              <w:pStyle w:val="ListParagraph"/>
              <w:numPr>
                <w:ilvl w:val="0"/>
                <w:numId w:val="30"/>
              </w:numPr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D9F">
              <w:rPr>
                <w:rFonts w:ascii="Arial" w:hAnsi="Arial" w:cs="Arial"/>
                <w:sz w:val="20"/>
                <w:szCs w:val="20"/>
              </w:rPr>
              <w:t>Resource planning and productivity management</w:t>
            </w:r>
          </w:p>
          <w:p w14:paraId="0EC94B8D" w14:textId="3FD1BFCF" w:rsidR="00D1385C" w:rsidRPr="006A0D9F" w:rsidRDefault="00D1385C" w:rsidP="00D1385C">
            <w:pPr>
              <w:pStyle w:val="ListParagraph"/>
              <w:numPr>
                <w:ilvl w:val="0"/>
                <w:numId w:val="30"/>
              </w:numPr>
              <w:ind w:left="249" w:hanging="249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0D9F">
              <w:rPr>
                <w:rFonts w:ascii="Arial" w:hAnsi="Arial" w:cs="Arial"/>
                <w:sz w:val="20"/>
                <w:szCs w:val="20"/>
              </w:rPr>
              <w:t>Change management</w:t>
            </w:r>
          </w:p>
          <w:p w14:paraId="42332B8B" w14:textId="488C4DFE" w:rsidR="00D1385C" w:rsidRPr="006848CF" w:rsidRDefault="00D1385C" w:rsidP="00D1385C">
            <w:pPr>
              <w:pStyle w:val="ListParagraph"/>
              <w:numPr>
                <w:ilvl w:val="0"/>
                <w:numId w:val="30"/>
              </w:numPr>
              <w:ind w:left="249" w:hanging="249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0D9F">
              <w:rPr>
                <w:rFonts w:ascii="Arial" w:eastAsia="Calibri" w:hAnsi="Arial" w:cs="Arial"/>
                <w:sz w:val="20"/>
                <w:szCs w:val="20"/>
              </w:rPr>
              <w:t>Continuous improvement</w:t>
            </w:r>
          </w:p>
          <w:p w14:paraId="5B6415A5" w14:textId="00D01CAF" w:rsidR="006848CF" w:rsidRPr="006A0D9F" w:rsidRDefault="006848CF" w:rsidP="00D1385C">
            <w:pPr>
              <w:pStyle w:val="ListParagraph"/>
              <w:numPr>
                <w:ilvl w:val="0"/>
                <w:numId w:val="30"/>
              </w:numPr>
              <w:ind w:left="249" w:hanging="249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0D9F">
              <w:rPr>
                <w:rFonts w:ascii="Arial" w:hAnsi="Arial" w:cs="Arial"/>
                <w:sz w:val="20"/>
                <w:szCs w:val="20"/>
              </w:rPr>
              <w:t>Coaching &amp; Training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4857" w14:textId="78DF4B95" w:rsidR="00D1385C" w:rsidRDefault="006848CF" w:rsidP="00D1385C">
            <w:pPr>
              <w:pStyle w:val="ListParagraph"/>
              <w:numPr>
                <w:ilvl w:val="0"/>
                <w:numId w:val="30"/>
              </w:numPr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1385C" w:rsidRPr="006A0D9F">
              <w:rPr>
                <w:rFonts w:ascii="Arial" w:hAnsi="Arial" w:cs="Arial"/>
                <w:sz w:val="20"/>
                <w:szCs w:val="20"/>
              </w:rPr>
              <w:t>eadership and people management</w:t>
            </w:r>
            <w:r w:rsidR="00B23A38">
              <w:rPr>
                <w:rFonts w:ascii="Arial" w:hAnsi="Arial" w:cs="Arial"/>
                <w:sz w:val="20"/>
                <w:szCs w:val="20"/>
              </w:rPr>
              <w:t xml:space="preserve"> of governance teams</w:t>
            </w:r>
          </w:p>
          <w:p w14:paraId="086AA6D1" w14:textId="4FA5F81F" w:rsidR="00B23A38" w:rsidRPr="00B23A38" w:rsidRDefault="00B23A38" w:rsidP="00B615D3">
            <w:pPr>
              <w:pStyle w:val="ListParagraph"/>
              <w:numPr>
                <w:ilvl w:val="0"/>
                <w:numId w:val="30"/>
              </w:numPr>
              <w:ind w:left="283" w:hanging="283"/>
              <w:jc w:val="both"/>
              <w:rPr>
                <w:rFonts w:eastAsia="Calibri"/>
              </w:rPr>
            </w:pPr>
            <w:r w:rsidRPr="00B23A38">
              <w:rPr>
                <w:rFonts w:ascii="Arial" w:hAnsi="Arial" w:cs="Arial"/>
                <w:sz w:val="20"/>
                <w:szCs w:val="20"/>
              </w:rPr>
              <w:t>Setting</w:t>
            </w:r>
            <w:r>
              <w:rPr>
                <w:rFonts w:ascii="Arial" w:hAnsi="Arial" w:cs="Arial"/>
                <w:sz w:val="20"/>
                <w:szCs w:val="20"/>
              </w:rPr>
              <w:t>, delivering</w:t>
            </w:r>
            <w:r w:rsidRPr="00B23A38">
              <w:rPr>
                <w:rFonts w:ascii="Arial" w:hAnsi="Arial" w:cs="Arial"/>
                <w:sz w:val="20"/>
                <w:szCs w:val="20"/>
              </w:rPr>
              <w:t xml:space="preserve"> and embedding</w:t>
            </w:r>
            <w:r w:rsidR="006848CF">
              <w:rPr>
                <w:rFonts w:ascii="Arial" w:hAnsi="Arial" w:cs="Arial"/>
                <w:sz w:val="20"/>
                <w:szCs w:val="20"/>
              </w:rPr>
              <w:t xml:space="preserve"> effective</w:t>
            </w:r>
            <w:r w:rsidRPr="00B23A38">
              <w:rPr>
                <w:rFonts w:ascii="Arial" w:hAnsi="Arial" w:cs="Arial"/>
                <w:sz w:val="20"/>
                <w:szCs w:val="20"/>
              </w:rPr>
              <w:t xml:space="preserve"> governance strategy</w:t>
            </w:r>
          </w:p>
          <w:p w14:paraId="7AC1AB37" w14:textId="77777777" w:rsidR="00522418" w:rsidRPr="00882DA2" w:rsidRDefault="00D1385C" w:rsidP="00B23A38">
            <w:pPr>
              <w:pStyle w:val="ListParagraph"/>
              <w:numPr>
                <w:ilvl w:val="0"/>
                <w:numId w:val="30"/>
              </w:numPr>
              <w:ind w:left="283" w:hanging="283"/>
              <w:jc w:val="both"/>
              <w:rPr>
                <w:rFonts w:eastAsia="Calibri"/>
              </w:rPr>
            </w:pPr>
            <w:r w:rsidRPr="00B23A38">
              <w:rPr>
                <w:rFonts w:ascii="Arial" w:eastAsia="Calibri" w:hAnsi="Arial" w:cs="Arial"/>
                <w:sz w:val="20"/>
                <w:szCs w:val="20"/>
              </w:rPr>
              <w:t>Strong customer service / member management backgroun</w:t>
            </w:r>
            <w:r w:rsidR="00B23A38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44CE9B5E" w14:textId="614AA9D3" w:rsidR="00882DA2" w:rsidRPr="00882DA2" w:rsidRDefault="00882DA2" w:rsidP="00B23A38">
            <w:pPr>
              <w:pStyle w:val="ListParagraph"/>
              <w:numPr>
                <w:ilvl w:val="0"/>
                <w:numId w:val="30"/>
              </w:numPr>
              <w:ind w:left="283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2DA2">
              <w:rPr>
                <w:rFonts w:ascii="Arial" w:eastAsia="Calibri" w:hAnsi="Arial" w:cs="Arial"/>
                <w:sz w:val="20"/>
                <w:szCs w:val="20"/>
              </w:rPr>
              <w:t xml:space="preserve">Experience conducting gap analysis of current performance versus </w:t>
            </w:r>
            <w:r w:rsidR="006F4DB1">
              <w:rPr>
                <w:rFonts w:ascii="Arial" w:eastAsia="Calibri" w:hAnsi="Arial" w:cs="Arial"/>
                <w:sz w:val="20"/>
                <w:szCs w:val="20"/>
              </w:rPr>
              <w:t>best in class</w:t>
            </w:r>
          </w:p>
        </w:tc>
      </w:tr>
      <w:tr w:rsidR="00D1385C" w:rsidRPr="006A0D9F" w14:paraId="560DCB0A" w14:textId="77777777" w:rsidTr="00D1385C">
        <w:trPr>
          <w:cantSplit/>
          <w:trHeight w:val="197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1B33" w14:textId="77777777" w:rsidR="00D1385C" w:rsidRDefault="00D1385C" w:rsidP="00D1385C">
            <w:pPr>
              <w:pStyle w:val="ListParagraph"/>
              <w:numPr>
                <w:ilvl w:val="0"/>
                <w:numId w:val="30"/>
              </w:numPr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D9F">
              <w:rPr>
                <w:rFonts w:ascii="Arial" w:hAnsi="Arial" w:cs="Arial"/>
                <w:sz w:val="20"/>
                <w:szCs w:val="20"/>
              </w:rPr>
              <w:t>Chartered Insurance Institute (CII) qualified (over time may become an essential requirement of the role)</w:t>
            </w:r>
          </w:p>
          <w:p w14:paraId="5F519817" w14:textId="74C3D9CB" w:rsidR="00882DA2" w:rsidRPr="006A0D9F" w:rsidRDefault="00882DA2" w:rsidP="00882DA2">
            <w:pPr>
              <w:pStyle w:val="ListParagraph"/>
              <w:ind w:left="2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86BE" w14:textId="77777777" w:rsidR="00D1385C" w:rsidRPr="006A0D9F" w:rsidRDefault="00D1385C" w:rsidP="00D1385C">
            <w:pPr>
              <w:pStyle w:val="ListParagraph"/>
              <w:numPr>
                <w:ilvl w:val="0"/>
                <w:numId w:val="30"/>
              </w:numPr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D9F">
              <w:rPr>
                <w:rFonts w:ascii="Arial" w:hAnsi="Arial" w:cs="Arial"/>
                <w:sz w:val="20"/>
                <w:szCs w:val="20"/>
              </w:rPr>
              <w:t>Third Party service delivery</w:t>
            </w:r>
          </w:p>
          <w:p w14:paraId="57F1FF70" w14:textId="77777777" w:rsidR="00D1385C" w:rsidRDefault="00D1385C" w:rsidP="00D1385C">
            <w:pPr>
              <w:pStyle w:val="ListParagraph"/>
              <w:numPr>
                <w:ilvl w:val="0"/>
                <w:numId w:val="30"/>
              </w:numPr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D9F">
              <w:rPr>
                <w:rFonts w:ascii="Arial" w:hAnsi="Arial" w:cs="Arial"/>
                <w:sz w:val="20"/>
                <w:szCs w:val="20"/>
              </w:rPr>
              <w:t>Lean (green belt or equivalent) / root cause analysis trained</w:t>
            </w:r>
          </w:p>
          <w:p w14:paraId="79E15269" w14:textId="77777777" w:rsidR="00D1385C" w:rsidRPr="006A0D9F" w:rsidRDefault="00D1385C" w:rsidP="00D1385C">
            <w:pPr>
              <w:pStyle w:val="ListParagraph"/>
              <w:numPr>
                <w:ilvl w:val="0"/>
                <w:numId w:val="30"/>
              </w:numPr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D9F">
              <w:rPr>
                <w:rFonts w:ascii="Arial" w:eastAsia="Calibri" w:hAnsi="Arial" w:cs="Arial"/>
                <w:sz w:val="20"/>
                <w:szCs w:val="20"/>
              </w:rPr>
              <w:t>Ability to conduct and hold commercial interactions with membership/ liaising with commercial marketing and sales in relation to product development and Insight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C2B" w14:textId="77777777" w:rsidR="006848CF" w:rsidRDefault="003E1BBD" w:rsidP="009F4E35">
            <w:pPr>
              <w:pStyle w:val="ListParagraph"/>
              <w:numPr>
                <w:ilvl w:val="0"/>
                <w:numId w:val="30"/>
              </w:numPr>
              <w:spacing w:beforeAutospacing="0" w:after="0" w:afterAutospacing="0"/>
              <w:ind w:left="249" w:right="-34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8CF">
              <w:rPr>
                <w:rFonts w:ascii="Arial" w:hAnsi="Arial" w:cs="Arial"/>
                <w:sz w:val="20"/>
                <w:szCs w:val="20"/>
              </w:rPr>
              <w:t xml:space="preserve">Experience working in an </w:t>
            </w:r>
            <w:r w:rsidR="00D1385C" w:rsidRPr="006848CF">
              <w:rPr>
                <w:rFonts w:ascii="Arial" w:hAnsi="Arial" w:cs="Arial"/>
                <w:sz w:val="20"/>
                <w:szCs w:val="20"/>
              </w:rPr>
              <w:t>Insurance / regulatory environment</w:t>
            </w:r>
          </w:p>
          <w:p w14:paraId="474FE981" w14:textId="140744B6" w:rsidR="003E1BBD" w:rsidRPr="006848CF" w:rsidRDefault="00B23A38" w:rsidP="009F4E35">
            <w:pPr>
              <w:pStyle w:val="ListParagraph"/>
              <w:numPr>
                <w:ilvl w:val="0"/>
                <w:numId w:val="30"/>
              </w:numPr>
              <w:spacing w:beforeAutospacing="0" w:after="0" w:afterAutospacing="0"/>
              <w:ind w:left="249" w:right="-34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8CF">
              <w:rPr>
                <w:rFonts w:ascii="Arial" w:hAnsi="Arial" w:cs="Arial"/>
                <w:sz w:val="20"/>
                <w:szCs w:val="20"/>
              </w:rPr>
              <w:t>Setting governance strategy</w:t>
            </w:r>
            <w:r w:rsidR="003E1BBD" w:rsidRPr="006848CF">
              <w:rPr>
                <w:rFonts w:ascii="Arial" w:hAnsi="Arial" w:cs="Arial"/>
                <w:sz w:val="20"/>
                <w:szCs w:val="20"/>
              </w:rPr>
              <w:t xml:space="preserve"> within a global organisation</w:t>
            </w:r>
          </w:p>
          <w:p w14:paraId="2984D02C" w14:textId="1DB53A5D" w:rsidR="00522418" w:rsidRPr="006A0D9F" w:rsidRDefault="00B23A38" w:rsidP="00522418">
            <w:pPr>
              <w:pStyle w:val="ListParagraph"/>
              <w:numPr>
                <w:ilvl w:val="0"/>
                <w:numId w:val="30"/>
              </w:numPr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  <w:r w:rsidR="00522418" w:rsidRPr="006A0D9F">
              <w:rPr>
                <w:rFonts w:ascii="Arial" w:hAnsi="Arial" w:cs="Arial"/>
                <w:sz w:val="20"/>
                <w:szCs w:val="20"/>
              </w:rPr>
              <w:t xml:space="preserve"> in a progressive medical malpractice environme</w:t>
            </w:r>
            <w:r w:rsidR="00522418" w:rsidRPr="006A0D9F">
              <w:rPr>
                <w:rFonts w:ascii="Arial" w:hAnsi="Arial" w:cs="Arial"/>
                <w:color w:val="000000"/>
                <w:sz w:val="20"/>
                <w:szCs w:val="20"/>
              </w:rPr>
              <w:t xml:space="preserve">nt </w:t>
            </w:r>
          </w:p>
          <w:p w14:paraId="3134EA50" w14:textId="77777777" w:rsidR="00D1385C" w:rsidRPr="006A0D9F" w:rsidRDefault="00D1385C" w:rsidP="00D1385C">
            <w:pPr>
              <w:ind w:right="-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0B30A7" w14:textId="77777777" w:rsidR="00D1385C" w:rsidRPr="00B75089" w:rsidRDefault="00D1385C" w:rsidP="00B75089">
      <w:pPr>
        <w:spacing w:line="240" w:lineRule="auto"/>
        <w:rPr>
          <w:rFonts w:ascii="Arial" w:hAnsi="Arial" w:cs="Arial"/>
        </w:rPr>
      </w:pPr>
    </w:p>
    <w:sectPr w:rsidR="00D1385C" w:rsidRPr="00B75089" w:rsidSect="009E22D0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17A70" w14:textId="77777777" w:rsidR="00F158AF" w:rsidRDefault="00F158AF" w:rsidP="009E22D0">
      <w:pPr>
        <w:spacing w:after="0" w:line="240" w:lineRule="auto"/>
      </w:pPr>
      <w:r>
        <w:separator/>
      </w:r>
    </w:p>
  </w:endnote>
  <w:endnote w:type="continuationSeparator" w:id="0">
    <w:p w14:paraId="27EC6D69" w14:textId="77777777" w:rsidR="00F158AF" w:rsidRDefault="00F158AF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E138" w14:textId="77777777" w:rsidR="00F2610A" w:rsidRPr="00AD458B" w:rsidRDefault="00F2610A" w:rsidP="00F2610A">
    <w:pPr>
      <w:pBdr>
        <w:bottom w:val="single" w:sz="6" w:space="1" w:color="auto"/>
      </w:pBd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lang w:eastAsia="en-US"/>
      </w:rPr>
    </w:pPr>
  </w:p>
  <w:p w14:paraId="293BD9EB" w14:textId="5E05AD6E" w:rsidR="00F2610A" w:rsidRPr="00AD458B" w:rsidRDefault="00F2610A" w:rsidP="00F2610A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Developed:          </w:t>
    </w:r>
    <w:r w:rsidR="0066627F">
      <w:rPr>
        <w:rFonts w:ascii="Arial" w:eastAsiaTheme="minorHAnsi" w:hAnsi="Arial" w:cs="Arial"/>
        <w:sz w:val="16"/>
        <w:lang w:eastAsia="en-US"/>
      </w:rPr>
      <w:t>May 2020</w:t>
    </w:r>
  </w:p>
  <w:p w14:paraId="7823C52A" w14:textId="12D06E29" w:rsidR="00F2610A" w:rsidRPr="00AD458B" w:rsidRDefault="00F2610A" w:rsidP="00F2610A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of last review:      </w:t>
    </w:r>
    <w:r w:rsidR="006848CF">
      <w:rPr>
        <w:rFonts w:ascii="Arial" w:eastAsiaTheme="minorHAnsi" w:hAnsi="Arial" w:cs="Arial"/>
        <w:sz w:val="16"/>
        <w:lang w:eastAsia="en-US"/>
      </w:rPr>
      <w:t>February 2021</w:t>
    </w:r>
  </w:p>
  <w:p w14:paraId="0F4FD053" w14:textId="066A11FD" w:rsidR="00F2610A" w:rsidRDefault="00F2610A" w:rsidP="00F2610A">
    <w:pPr>
      <w:pStyle w:val="Footer"/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 xml:space="preserve">f next review:     </w:t>
    </w:r>
    <w:r w:rsidR="006848CF">
      <w:rPr>
        <w:rFonts w:ascii="Arial" w:eastAsiaTheme="minorHAnsi" w:hAnsi="Arial" w:cs="Arial"/>
        <w:sz w:val="16"/>
        <w:lang w:eastAsia="en-US"/>
      </w:rPr>
      <w:t>February</w:t>
    </w:r>
    <w:r w:rsidR="0066627F">
      <w:rPr>
        <w:rFonts w:ascii="Arial" w:eastAsiaTheme="minorHAnsi" w:hAnsi="Arial" w:cs="Arial"/>
        <w:sz w:val="16"/>
        <w:lang w:eastAsia="en-US"/>
      </w:rPr>
      <w:t xml:space="preserve"> 202</w:t>
    </w:r>
    <w:r w:rsidR="006848CF">
      <w:rPr>
        <w:rFonts w:ascii="Arial" w:eastAsiaTheme="minorHAnsi" w:hAnsi="Arial" w:cs="Arial"/>
        <w:sz w:val="16"/>
        <w:lang w:eastAsia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741EF" w14:textId="77777777" w:rsidR="00F158AF" w:rsidRDefault="00F158AF" w:rsidP="009E22D0">
      <w:pPr>
        <w:spacing w:after="0" w:line="240" w:lineRule="auto"/>
      </w:pPr>
      <w:r>
        <w:separator/>
      </w:r>
    </w:p>
  </w:footnote>
  <w:footnote w:type="continuationSeparator" w:id="0">
    <w:p w14:paraId="3DFD8ABD" w14:textId="77777777" w:rsidR="00F158AF" w:rsidRDefault="00F158AF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0027" w14:textId="77777777" w:rsidR="00020936" w:rsidRPr="000E4361" w:rsidRDefault="00020936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185505E3" wp14:editId="10CF88CB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53EC"/>
    <w:multiLevelType w:val="hybridMultilevel"/>
    <w:tmpl w:val="5896E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2244E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67261E"/>
    <w:multiLevelType w:val="hybridMultilevel"/>
    <w:tmpl w:val="F210E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E4AF4"/>
    <w:multiLevelType w:val="hybridMultilevel"/>
    <w:tmpl w:val="79B2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81287"/>
    <w:multiLevelType w:val="hybridMultilevel"/>
    <w:tmpl w:val="F980446A"/>
    <w:lvl w:ilvl="0" w:tplc="6242D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F9E"/>
    <w:multiLevelType w:val="hybridMultilevel"/>
    <w:tmpl w:val="6F42B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7802"/>
    <w:multiLevelType w:val="hybridMultilevel"/>
    <w:tmpl w:val="C6D46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E2D04"/>
    <w:multiLevelType w:val="hybridMultilevel"/>
    <w:tmpl w:val="8CAC1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613F2"/>
    <w:multiLevelType w:val="hybridMultilevel"/>
    <w:tmpl w:val="5518E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395B"/>
    <w:multiLevelType w:val="hybridMultilevel"/>
    <w:tmpl w:val="342868CA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B1EF0"/>
    <w:multiLevelType w:val="hybridMultilevel"/>
    <w:tmpl w:val="4404CB1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6DF80A06"/>
    <w:multiLevelType w:val="hybridMultilevel"/>
    <w:tmpl w:val="8760F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7E7FD0"/>
    <w:multiLevelType w:val="hybridMultilevel"/>
    <w:tmpl w:val="89BA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06823"/>
    <w:multiLevelType w:val="hybridMultilevel"/>
    <w:tmpl w:val="8A44BBC4"/>
    <w:lvl w:ilvl="0" w:tplc="6242D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4949"/>
    <w:multiLevelType w:val="hybridMultilevel"/>
    <w:tmpl w:val="52865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7A264C"/>
    <w:multiLevelType w:val="hybridMultilevel"/>
    <w:tmpl w:val="D4820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A961C6"/>
    <w:multiLevelType w:val="hybridMultilevel"/>
    <w:tmpl w:val="7A569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930CEF"/>
    <w:multiLevelType w:val="hybridMultilevel"/>
    <w:tmpl w:val="9DF4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17"/>
  </w:num>
  <w:num w:numId="9">
    <w:abstractNumId w:val="22"/>
  </w:num>
  <w:num w:numId="10">
    <w:abstractNumId w:val="14"/>
  </w:num>
  <w:num w:numId="11">
    <w:abstractNumId w:val="6"/>
  </w:num>
  <w:num w:numId="12">
    <w:abstractNumId w:val="15"/>
  </w:num>
  <w:num w:numId="13">
    <w:abstractNumId w:val="0"/>
  </w:num>
  <w:num w:numId="14">
    <w:abstractNumId w:val="19"/>
  </w:num>
  <w:num w:numId="15">
    <w:abstractNumId w:val="21"/>
  </w:num>
  <w:num w:numId="16">
    <w:abstractNumId w:val="5"/>
  </w:num>
  <w:num w:numId="17">
    <w:abstractNumId w:val="26"/>
  </w:num>
  <w:num w:numId="18">
    <w:abstractNumId w:val="8"/>
  </w:num>
  <w:num w:numId="19">
    <w:abstractNumId w:val="3"/>
  </w:num>
  <w:num w:numId="20">
    <w:abstractNumId w:val="25"/>
  </w:num>
  <w:num w:numId="21">
    <w:abstractNumId w:val="1"/>
  </w:num>
  <w:num w:numId="22">
    <w:abstractNumId w:val="12"/>
  </w:num>
  <w:num w:numId="23">
    <w:abstractNumId w:val="10"/>
  </w:num>
  <w:num w:numId="24">
    <w:abstractNumId w:val="16"/>
  </w:num>
  <w:num w:numId="25">
    <w:abstractNumId w:val="18"/>
  </w:num>
  <w:num w:numId="26">
    <w:abstractNumId w:val="4"/>
  </w:num>
  <w:num w:numId="27">
    <w:abstractNumId w:val="2"/>
  </w:num>
  <w:num w:numId="28">
    <w:abstractNumId w:val="23"/>
  </w:num>
  <w:num w:numId="29">
    <w:abstractNumId w:val="13"/>
  </w:num>
  <w:num w:numId="30">
    <w:abstractNumId w:val="10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62FC"/>
    <w:rsid w:val="00020936"/>
    <w:rsid w:val="0005051D"/>
    <w:rsid w:val="0005646B"/>
    <w:rsid w:val="000772D7"/>
    <w:rsid w:val="00082F60"/>
    <w:rsid w:val="00083A5F"/>
    <w:rsid w:val="00086928"/>
    <w:rsid w:val="000C38FE"/>
    <w:rsid w:val="000E4361"/>
    <w:rsid w:val="001139B0"/>
    <w:rsid w:val="001168F8"/>
    <w:rsid w:val="00155C92"/>
    <w:rsid w:val="0016558A"/>
    <w:rsid w:val="001E4271"/>
    <w:rsid w:val="001E5BFA"/>
    <w:rsid w:val="00232484"/>
    <w:rsid w:val="00247AE8"/>
    <w:rsid w:val="00254DE9"/>
    <w:rsid w:val="00255027"/>
    <w:rsid w:val="00276C60"/>
    <w:rsid w:val="002A5AC7"/>
    <w:rsid w:val="002B557F"/>
    <w:rsid w:val="002D2D20"/>
    <w:rsid w:val="0030154C"/>
    <w:rsid w:val="0033092D"/>
    <w:rsid w:val="00337B5E"/>
    <w:rsid w:val="00340401"/>
    <w:rsid w:val="003B1C04"/>
    <w:rsid w:val="003C0A0D"/>
    <w:rsid w:val="003E1BBD"/>
    <w:rsid w:val="003E5AE3"/>
    <w:rsid w:val="003E6ED4"/>
    <w:rsid w:val="003F0410"/>
    <w:rsid w:val="00406AB8"/>
    <w:rsid w:val="00420262"/>
    <w:rsid w:val="0042771A"/>
    <w:rsid w:val="00463A88"/>
    <w:rsid w:val="004855B9"/>
    <w:rsid w:val="004A5E60"/>
    <w:rsid w:val="004C11D1"/>
    <w:rsid w:val="004D07D3"/>
    <w:rsid w:val="004D18E8"/>
    <w:rsid w:val="00522418"/>
    <w:rsid w:val="005347B6"/>
    <w:rsid w:val="0054225A"/>
    <w:rsid w:val="005542D1"/>
    <w:rsid w:val="0056188D"/>
    <w:rsid w:val="0058410C"/>
    <w:rsid w:val="005A34B8"/>
    <w:rsid w:val="005C42D8"/>
    <w:rsid w:val="005E633A"/>
    <w:rsid w:val="005F3C23"/>
    <w:rsid w:val="006219B1"/>
    <w:rsid w:val="00657AC0"/>
    <w:rsid w:val="0066627F"/>
    <w:rsid w:val="00666A84"/>
    <w:rsid w:val="00666EB3"/>
    <w:rsid w:val="00670D3E"/>
    <w:rsid w:val="006848CF"/>
    <w:rsid w:val="006A0D9F"/>
    <w:rsid w:val="006F4DB1"/>
    <w:rsid w:val="0070552F"/>
    <w:rsid w:val="00710BAE"/>
    <w:rsid w:val="00711E46"/>
    <w:rsid w:val="00717094"/>
    <w:rsid w:val="00726B55"/>
    <w:rsid w:val="00752EE5"/>
    <w:rsid w:val="007573D2"/>
    <w:rsid w:val="007619EA"/>
    <w:rsid w:val="007803DA"/>
    <w:rsid w:val="0078492F"/>
    <w:rsid w:val="00785E0A"/>
    <w:rsid w:val="007921E8"/>
    <w:rsid w:val="007E7CA1"/>
    <w:rsid w:val="007F523C"/>
    <w:rsid w:val="007F5DFC"/>
    <w:rsid w:val="00813AEB"/>
    <w:rsid w:val="00840222"/>
    <w:rsid w:val="00854F3F"/>
    <w:rsid w:val="00855D93"/>
    <w:rsid w:val="00861E84"/>
    <w:rsid w:val="0086281A"/>
    <w:rsid w:val="00882DA2"/>
    <w:rsid w:val="00895AD5"/>
    <w:rsid w:val="008C446E"/>
    <w:rsid w:val="008D494F"/>
    <w:rsid w:val="008E65AC"/>
    <w:rsid w:val="009023F3"/>
    <w:rsid w:val="0090276B"/>
    <w:rsid w:val="00935DE0"/>
    <w:rsid w:val="00952856"/>
    <w:rsid w:val="009A5EFD"/>
    <w:rsid w:val="009B5F19"/>
    <w:rsid w:val="009C023A"/>
    <w:rsid w:val="009E22D0"/>
    <w:rsid w:val="009F0C20"/>
    <w:rsid w:val="009F7980"/>
    <w:rsid w:val="00A00688"/>
    <w:rsid w:val="00A21106"/>
    <w:rsid w:val="00A24E23"/>
    <w:rsid w:val="00A44047"/>
    <w:rsid w:val="00A4414A"/>
    <w:rsid w:val="00A50273"/>
    <w:rsid w:val="00A87704"/>
    <w:rsid w:val="00A87D8C"/>
    <w:rsid w:val="00A96B51"/>
    <w:rsid w:val="00AD1889"/>
    <w:rsid w:val="00B13B51"/>
    <w:rsid w:val="00B23A38"/>
    <w:rsid w:val="00B2779F"/>
    <w:rsid w:val="00B53D3A"/>
    <w:rsid w:val="00B75089"/>
    <w:rsid w:val="00B97BC2"/>
    <w:rsid w:val="00BA15CE"/>
    <w:rsid w:val="00BB145B"/>
    <w:rsid w:val="00BD54DF"/>
    <w:rsid w:val="00BE672E"/>
    <w:rsid w:val="00C00053"/>
    <w:rsid w:val="00C55BE1"/>
    <w:rsid w:val="00C62F3F"/>
    <w:rsid w:val="00C91CFA"/>
    <w:rsid w:val="00C930F5"/>
    <w:rsid w:val="00CC102B"/>
    <w:rsid w:val="00CF1FB7"/>
    <w:rsid w:val="00D1385C"/>
    <w:rsid w:val="00D261D6"/>
    <w:rsid w:val="00D5083F"/>
    <w:rsid w:val="00D512F9"/>
    <w:rsid w:val="00D87B00"/>
    <w:rsid w:val="00D939BB"/>
    <w:rsid w:val="00DA3570"/>
    <w:rsid w:val="00DA45C4"/>
    <w:rsid w:val="00DC3A9B"/>
    <w:rsid w:val="00E23B0F"/>
    <w:rsid w:val="00E34340"/>
    <w:rsid w:val="00E40AC5"/>
    <w:rsid w:val="00EE0943"/>
    <w:rsid w:val="00EE78B4"/>
    <w:rsid w:val="00F158AF"/>
    <w:rsid w:val="00F25ED5"/>
    <w:rsid w:val="00F2610A"/>
    <w:rsid w:val="00F31982"/>
    <w:rsid w:val="00F5319A"/>
    <w:rsid w:val="00F54F46"/>
    <w:rsid w:val="00F633CF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77A0F2"/>
  <w15:docId w15:val="{BC2245A4-841F-4793-9B4C-2EE2BD08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952856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52856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11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106"/>
    <w:pPr>
      <w:spacing w:before="0" w:beforeAutospacing="0" w:after="200" w:afterAutospacing="0"/>
    </w:pPr>
    <w:rPr>
      <w:rFonts w:ascii="Calibri" w:eastAsia="Times New Roman" w:hAnsi="Calibri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106"/>
    <w:rPr>
      <w:rFonts w:ascii="Calibri" w:eastAsiaTheme="minorHAnsi" w:hAnsi="Calibr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9B5F1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DE8A6D6B-F4E4-4D80-B4DD-A31ECEE046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970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Emily Carr</cp:lastModifiedBy>
  <cp:revision>4</cp:revision>
  <dcterms:created xsi:type="dcterms:W3CDTF">2021-02-26T16:03:00Z</dcterms:created>
  <dcterms:modified xsi:type="dcterms:W3CDTF">2021-03-10T11:16:00Z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f0a5fc02-1209-49a0-a4bc-d7b5457b6ef7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