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4633C6CB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783F51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4C5DEC16" w14:textId="01293CBD" w:rsidR="00F5319A" w:rsidRPr="00B75089" w:rsidRDefault="00D95CF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36F07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8B300D5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Accountant</w:t>
            </w:r>
          </w:p>
        </w:tc>
      </w:tr>
      <w:tr w:rsidR="00F5319A" w:rsidRPr="00B75089" w14:paraId="149506C2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4B5E244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75A36D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AE69F4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323843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F5319A" w:rsidRPr="00B75089" w14:paraId="0A6B9C6D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430F7DA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5A12296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1B8BDC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4E9E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14:paraId="1F9E641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A729508" w14:textId="77777777" w:rsidR="00F5319A" w:rsidRDefault="001459D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UK and International</w:t>
            </w:r>
          </w:p>
          <w:p w14:paraId="38CC231B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71EC3A40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D5CBE5D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9FFDB8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7960A3B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5213761D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4FA719F7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589BF3FE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088E5B42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E83A76F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BAFC4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F6E11E7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CB1B58B" w14:textId="77777777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1A623BB4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584FAA92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034F9AB4" w14:textId="77777777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EEA1F1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20C75706" w14:textId="77777777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4599168C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45BFF88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D02CE8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8F5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7193B2B" w14:textId="77777777" w:rsidTr="009E22D0">
        <w:trPr>
          <w:trHeight w:val="693"/>
        </w:trPr>
        <w:tc>
          <w:tcPr>
            <w:tcW w:w="10509" w:type="dxa"/>
          </w:tcPr>
          <w:p w14:paraId="70AEA5BD" w14:textId="77777777" w:rsidR="001D305E" w:rsidRPr="001D305E" w:rsidRDefault="001D305E" w:rsidP="002D4A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D30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85AA3">
              <w:rPr>
                <w:rFonts w:ascii="Arial" w:hAnsi="Arial" w:cs="Arial"/>
                <w:sz w:val="20"/>
                <w:szCs w:val="20"/>
              </w:rPr>
              <w:t xml:space="preserve">purpose of this role is to provide </w:t>
            </w:r>
            <w:r w:rsidR="007762EE">
              <w:rPr>
                <w:rFonts w:ascii="Arial" w:hAnsi="Arial" w:cs="Arial"/>
                <w:sz w:val="20"/>
                <w:szCs w:val="20"/>
              </w:rPr>
              <w:t>comprehensive and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efficient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562">
              <w:rPr>
                <w:rFonts w:ascii="Arial" w:hAnsi="Arial" w:cs="Arial"/>
                <w:sz w:val="20"/>
                <w:szCs w:val="20"/>
              </w:rPr>
              <w:t xml:space="preserve">to the Finance Division </w:t>
            </w:r>
            <w:r w:rsidR="007762EE">
              <w:rPr>
                <w:rFonts w:ascii="Arial" w:hAnsi="Arial" w:cs="Arial"/>
                <w:sz w:val="20"/>
                <w:szCs w:val="20"/>
              </w:rPr>
              <w:t>across</w:t>
            </w:r>
            <w:r w:rsidR="007762EE"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05E">
              <w:rPr>
                <w:rFonts w:ascii="Arial" w:hAnsi="Arial" w:cs="Arial"/>
                <w:sz w:val="20"/>
                <w:szCs w:val="20"/>
              </w:rPr>
              <w:t>various aspects of the day</w:t>
            </w:r>
            <w:r w:rsidR="007762EE">
              <w:rPr>
                <w:rFonts w:ascii="Arial" w:hAnsi="Arial" w:cs="Arial"/>
                <w:sz w:val="20"/>
                <w:szCs w:val="20"/>
              </w:rPr>
              <w:t>-</w:t>
            </w:r>
            <w:r w:rsidRPr="001D305E">
              <w:rPr>
                <w:rFonts w:ascii="Arial" w:hAnsi="Arial" w:cs="Arial"/>
                <w:sz w:val="20"/>
                <w:szCs w:val="20"/>
              </w:rPr>
              <w:t>to</w:t>
            </w:r>
            <w:r w:rsidR="00385AA3">
              <w:rPr>
                <w:rFonts w:ascii="Arial" w:hAnsi="Arial" w:cs="Arial"/>
                <w:sz w:val="20"/>
                <w:szCs w:val="20"/>
              </w:rPr>
              <w:t>-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D62562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 w:rsidR="00471ED6" w:rsidRPr="00D62562"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Pr="00D62562"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>completing monthly</w:t>
            </w:r>
            <w:r w:rsidRPr="00D62562">
              <w:rPr>
                <w:rFonts w:ascii="Arial" w:hAnsi="Arial" w:cs="Arial"/>
                <w:sz w:val="20"/>
                <w:szCs w:val="20"/>
              </w:rPr>
              <w:t xml:space="preserve"> balance sheet reconciliations, maintaining the </w:t>
            </w:r>
            <w:r w:rsidR="0015016B" w:rsidRPr="00D62562">
              <w:rPr>
                <w:rFonts w:ascii="Arial" w:hAnsi="Arial" w:cs="Arial"/>
                <w:sz w:val="20"/>
                <w:szCs w:val="20"/>
              </w:rPr>
              <w:t>G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 xml:space="preserve">roup’s </w:t>
            </w:r>
            <w:r w:rsidRPr="00D62562">
              <w:rPr>
                <w:rFonts w:ascii="Arial" w:hAnsi="Arial" w:cs="Arial"/>
                <w:sz w:val="20"/>
                <w:szCs w:val="20"/>
              </w:rPr>
              <w:t>fixed asset register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>s</w:t>
            </w:r>
            <w:r w:rsidR="00471ED6" w:rsidRPr="00D6256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 xml:space="preserve">preparing statutory </w:t>
            </w:r>
            <w:r w:rsidR="00471ED6" w:rsidRPr="00D62562">
              <w:rPr>
                <w:rFonts w:ascii="Arial" w:hAnsi="Arial" w:cs="Arial"/>
                <w:sz w:val="20"/>
                <w:szCs w:val="20"/>
              </w:rPr>
              <w:t xml:space="preserve">returns 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 xml:space="preserve">in order </w:t>
            </w:r>
            <w:r w:rsidRPr="00D62562">
              <w:rPr>
                <w:rFonts w:ascii="Arial" w:hAnsi="Arial" w:cs="Arial"/>
                <w:sz w:val="20"/>
                <w:szCs w:val="20"/>
              </w:rPr>
              <w:t xml:space="preserve">to ensure the business remains 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 xml:space="preserve">legally </w:t>
            </w:r>
            <w:r w:rsidRPr="00D62562">
              <w:rPr>
                <w:rFonts w:ascii="Arial" w:hAnsi="Arial" w:cs="Arial"/>
                <w:sz w:val="20"/>
                <w:szCs w:val="20"/>
              </w:rPr>
              <w:t xml:space="preserve">compliant and 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 xml:space="preserve">able to effectively support other </w:t>
            </w:r>
            <w:r w:rsidR="0015016B" w:rsidRPr="00D62562">
              <w:rPr>
                <w:rFonts w:ascii="Arial" w:hAnsi="Arial" w:cs="Arial"/>
                <w:sz w:val="20"/>
                <w:szCs w:val="20"/>
              </w:rPr>
              <w:t>functions across the G</w:t>
            </w:r>
            <w:r w:rsidR="007762EE" w:rsidRPr="00D62562">
              <w:rPr>
                <w:rFonts w:ascii="Arial" w:hAnsi="Arial" w:cs="Arial"/>
                <w:sz w:val="20"/>
                <w:szCs w:val="20"/>
              </w:rPr>
              <w:t>roup</w:t>
            </w:r>
            <w:r w:rsidRPr="00D625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DFFD609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56D39ED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AC2E30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C292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913C49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8AAC5" w14:textId="77777777" w:rsidR="00717094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86C14F8" w14:textId="77777777" w:rsidR="009E22D0" w:rsidRPr="00B75089" w:rsidRDefault="009E22D0" w:rsidP="001459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872DF90" w14:textId="77777777" w:rsidTr="009E22D0">
        <w:trPr>
          <w:trHeight w:val="578"/>
        </w:trPr>
        <w:tc>
          <w:tcPr>
            <w:tcW w:w="6346" w:type="dxa"/>
          </w:tcPr>
          <w:p w14:paraId="4A53E5AE" w14:textId="77777777"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0F9F20FA" w14:textId="77777777" w:rsidR="001459DA" w:rsidRPr="001459DA" w:rsidRDefault="001459DA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Support the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6C0C559" w14:textId="77777777" w:rsidR="001459DA" w:rsidRDefault="00B65565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monthly and annual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>financial accounting p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rocesses (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Accounts Integrity, Fixed Assets, Tax,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onth end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and year end </w:t>
            </w:r>
            <w:r>
              <w:rPr>
                <w:rFonts w:ascii="Arial" w:eastAsia="Calibri" w:hAnsi="Arial" w:cs="Arial"/>
                <w:sz w:val="20"/>
                <w:szCs w:val="20"/>
              </w:rPr>
              <w:t>processing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) within the organisation ensuring timely processing and completion in line with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established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governance timeframes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C5FDFD2" w14:textId="77777777" w:rsidR="0056188D" w:rsidRDefault="00B65565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Support the production of the various parts of the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>budget as required (bank charges, capital expenditure, depreciation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 etc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t xml:space="preserve"> 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within the </w:t>
            </w:r>
            <w:r>
              <w:rPr>
                <w:rFonts w:ascii="Arial" w:eastAsia="Calibri" w:hAnsi="Arial" w:cs="Arial"/>
                <w:sz w:val="20"/>
                <w:szCs w:val="20"/>
              </w:rPr>
              <w:t>Finance division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ensuring timely processing and completion in line with governance timeframes</w:t>
            </w:r>
            <w:r w:rsid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1A31C3" w14:textId="77777777" w:rsidR="001F43A5" w:rsidRDefault="001F43A5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in the production of monthly management information for review at key governance meetings.</w:t>
            </w:r>
          </w:p>
          <w:p w14:paraId="68F3E1B3" w14:textId="77777777" w:rsidR="00D62562" w:rsidRPr="001D305E" w:rsidRDefault="00D62562" w:rsidP="00D62562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F268463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33B1CD8A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726FF79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3E23A4B7" w14:textId="77777777" w:rsidR="009E22D0" w:rsidRPr="00B75089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E04ACBF" w14:textId="77777777" w:rsidTr="009E22D0">
        <w:trPr>
          <w:trHeight w:val="578"/>
        </w:trPr>
        <w:tc>
          <w:tcPr>
            <w:tcW w:w="6346" w:type="dxa"/>
          </w:tcPr>
          <w:p w14:paraId="69F78468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79F759A" w14:textId="77777777" w:rsidR="001459DA" w:rsidRPr="001459DA" w:rsidRDefault="001459DA" w:rsidP="001459DA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</w:p>
          <w:p w14:paraId="1B6F7D66" w14:textId="77777777" w:rsidR="00E420EE" w:rsidRDefault="001459DA" w:rsidP="00B270A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Manage all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 xml:space="preserve">financial accounting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transactions and tasks requested by the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division in accordance with policy and ensure those which incur costs comply with all financial controls.</w:t>
            </w:r>
          </w:p>
          <w:p w14:paraId="1F2A6D7A" w14:textId="77777777" w:rsidR="00D62562" w:rsidRPr="00D62562" w:rsidRDefault="00B270A3" w:rsidP="00D56C9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>Support the production of metrics from organisational data sources to inform business decisions and actions which results in a measurable improvement in business performance and trend</w:t>
            </w:r>
            <w:r w:rsidR="00D56C90">
              <w:rPr>
                <w:rFonts w:ascii="Arial" w:eastAsia="Calibri" w:hAnsi="Arial" w:cs="Arial"/>
                <w:sz w:val="20"/>
                <w:szCs w:val="20"/>
              </w:rPr>
              <w:t>s.</w:t>
            </w:r>
          </w:p>
        </w:tc>
        <w:tc>
          <w:tcPr>
            <w:tcW w:w="4141" w:type="dxa"/>
          </w:tcPr>
          <w:p w14:paraId="39B6965F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2CB38511" w14:textId="77777777" w:rsidR="009E22D0" w:rsidRPr="00B75089" w:rsidRDefault="009E22D0" w:rsidP="001459D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72F03CB" w14:textId="77777777" w:rsidTr="009E22D0">
        <w:trPr>
          <w:trHeight w:val="578"/>
        </w:trPr>
        <w:tc>
          <w:tcPr>
            <w:tcW w:w="6346" w:type="dxa"/>
          </w:tcPr>
          <w:p w14:paraId="146417D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5EF38811" w14:textId="77777777" w:rsidR="001459DA" w:rsidRPr="00B65565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Monitor emerging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risks and issues arising from business activities which fail to deliver appropriate and consistent outcomes for members or are likely to have a material adverse effect on the Group.</w:t>
            </w:r>
          </w:p>
          <w:p w14:paraId="3FB7E2C5" w14:textId="77777777" w:rsidR="009E22D0" w:rsidRPr="00D62562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Provide support to the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 xml:space="preserve">Finance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divis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0C837D4E" w14:textId="77777777" w:rsidR="00D62562" w:rsidRPr="00B75089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B6AD5BB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C9629D8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67D0252C" w14:textId="77777777" w:rsidR="009E22D0" w:rsidRPr="00644BB2" w:rsidRDefault="009E22D0" w:rsidP="0030020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3EDBA0" w14:textId="77777777" w:rsidTr="009E22D0">
        <w:trPr>
          <w:trHeight w:val="591"/>
        </w:trPr>
        <w:tc>
          <w:tcPr>
            <w:tcW w:w="6346" w:type="dxa"/>
          </w:tcPr>
          <w:p w14:paraId="21B1516C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A8D6B6F" w14:textId="77777777" w:rsidR="009E22D0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0E5F5AF1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B308C50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83E52E" w14:textId="77777777" w:rsidR="00644BB2" w:rsidRP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to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one / performance review meetings Vs Plan</w:t>
            </w:r>
          </w:p>
          <w:p w14:paraId="2EFBE2F7" w14:textId="77777777"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C3F301A" w14:textId="77777777" w:rsidTr="009E22D0">
        <w:trPr>
          <w:trHeight w:val="591"/>
        </w:trPr>
        <w:tc>
          <w:tcPr>
            <w:tcW w:w="6346" w:type="dxa"/>
          </w:tcPr>
          <w:p w14:paraId="567C3DF3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7616F49" w14:textId="77777777" w:rsidR="001459DA" w:rsidRPr="00300203" w:rsidRDefault="001459DA" w:rsidP="0030020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 w:rsidR="006F54B6">
              <w:rPr>
                <w:rFonts w:ascii="Arial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</w:t>
            </w:r>
            <w:r w:rsidR="00135F7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1459DA">
              <w:rPr>
                <w:rFonts w:ascii="Arial" w:hAnsi="Arial" w:cs="Arial"/>
                <w:sz w:val="20"/>
                <w:szCs w:val="20"/>
              </w:rPr>
              <w:t>management</w:t>
            </w:r>
            <w:r w:rsidR="00135F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F745D1" w14:textId="77777777" w:rsidR="009E22D0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</w:t>
            </w:r>
            <w:r w:rsidR="00135F78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to enable resolution and mitigation of potential impact on MPS, members and colleagues.</w:t>
            </w:r>
          </w:p>
          <w:p w14:paraId="7C3E5E54" w14:textId="77777777" w:rsidR="00D62562" w:rsidRPr="00644BB2" w:rsidRDefault="00D62562" w:rsidP="00D6256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FB5C302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7B0725B9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F25460F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EA82D6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3FDADE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511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FEAD4D" w14:textId="77777777" w:rsidTr="00FF16B8">
        <w:trPr>
          <w:trHeight w:val="693"/>
        </w:trPr>
        <w:tc>
          <w:tcPr>
            <w:tcW w:w="10490" w:type="dxa"/>
          </w:tcPr>
          <w:p w14:paraId="04E2DC41" w14:textId="77777777" w:rsidR="00E420EE" w:rsidRPr="00525419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Working with the Assistant Accountant</w:t>
            </w:r>
            <w:r w:rsidR="002D4A77" w:rsidRPr="00525419">
              <w:rPr>
                <w:rFonts w:ascii="Arial" w:hAnsi="Arial" w:cs="Arial"/>
                <w:sz w:val="20"/>
                <w:szCs w:val="20"/>
              </w:rPr>
              <w:t>s</w:t>
            </w:r>
            <w:r w:rsidRPr="00525419">
              <w:rPr>
                <w:rFonts w:ascii="Arial" w:hAnsi="Arial" w:cs="Arial"/>
                <w:sz w:val="20"/>
                <w:szCs w:val="20"/>
              </w:rPr>
              <w:t>, Financial Accountant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Group Financial Controller 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and other stakeholders 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to deliver </w:t>
            </w:r>
            <w:r w:rsidR="00135F78" w:rsidRPr="00525419">
              <w:rPr>
                <w:rFonts w:ascii="Arial" w:hAnsi="Arial" w:cs="Arial"/>
                <w:sz w:val="20"/>
                <w:szCs w:val="20"/>
              </w:rPr>
              <w:t xml:space="preserve">the annual financial statements for all Group entities as well as for the pension scheme. </w:t>
            </w:r>
          </w:p>
          <w:p w14:paraId="0E286B8E" w14:textId="77777777" w:rsidR="00BB529A" w:rsidRPr="00525419" w:rsidRDefault="00BB529A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Review of one-off accounting events to ensure appropriate </w:t>
            </w:r>
            <w:r w:rsidR="00BA68E4">
              <w:rPr>
                <w:rFonts w:ascii="Arial" w:hAnsi="Arial" w:cs="Arial"/>
                <w:sz w:val="20"/>
                <w:szCs w:val="20"/>
              </w:rPr>
              <w:t>treatment/</w:t>
            </w:r>
            <w:r w:rsidRPr="00525419">
              <w:rPr>
                <w:rFonts w:ascii="Arial" w:hAnsi="Arial" w:cs="Arial"/>
                <w:sz w:val="20"/>
                <w:szCs w:val="20"/>
              </w:rPr>
              <w:t>recognition.</w:t>
            </w:r>
          </w:p>
          <w:p w14:paraId="3FB2D411" w14:textId="77777777" w:rsidR="002D4A77" w:rsidRPr="00525419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Hands on support to the Finance Business Partners to ensure 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correct allocation of cost and appropriate treatment of transactions</w:t>
            </w:r>
          </w:p>
          <w:p w14:paraId="4A7E73D5" w14:textId="77777777" w:rsidR="009E22D0" w:rsidRPr="00525419" w:rsidRDefault="00AD1A8F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Connecting </w:t>
            </w:r>
            <w:r w:rsidR="00E420EE" w:rsidRPr="00525419">
              <w:rPr>
                <w:rFonts w:ascii="Arial" w:hAnsi="Arial" w:cs="Arial"/>
                <w:sz w:val="20"/>
                <w:szCs w:val="20"/>
              </w:rPr>
              <w:t>with the wider Finance Division to ensure that reporting requirements</w:t>
            </w:r>
            <w:r w:rsidR="002D4A77" w:rsidRPr="00525419">
              <w:rPr>
                <w:rFonts w:ascii="Arial" w:hAnsi="Arial" w:cs="Arial"/>
                <w:sz w:val="20"/>
                <w:szCs w:val="20"/>
              </w:rPr>
              <w:t xml:space="preserve"> and deadlines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, both internally and externall</w:t>
            </w:r>
            <w:r w:rsidR="002D4A77" w:rsidRPr="00525419">
              <w:rPr>
                <w:rFonts w:ascii="Arial" w:hAnsi="Arial" w:cs="Arial"/>
                <w:sz w:val="20"/>
                <w:szCs w:val="20"/>
              </w:rPr>
              <w:t>y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20EE" w:rsidRPr="00525419">
              <w:rPr>
                <w:rFonts w:ascii="Arial" w:hAnsi="Arial" w:cs="Arial"/>
                <w:sz w:val="20"/>
                <w:szCs w:val="20"/>
              </w:rPr>
              <w:t>are met.</w:t>
            </w:r>
          </w:p>
          <w:p w14:paraId="702E7C2E" w14:textId="77777777" w:rsidR="00AD1A8F" w:rsidRPr="00525419" w:rsidRDefault="00AD1A8F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 xml:space="preserve">Working with the Financial Planning and Analysis </w:t>
            </w:r>
            <w:r w:rsidR="00300203" w:rsidRPr="00525419">
              <w:rPr>
                <w:rFonts w:ascii="Arial" w:hAnsi="Arial" w:cs="Arial"/>
                <w:sz w:val="20"/>
                <w:szCs w:val="20"/>
              </w:rPr>
              <w:t xml:space="preserve">Manager </w:t>
            </w:r>
            <w:r w:rsidRPr="00525419">
              <w:rPr>
                <w:rFonts w:ascii="Arial" w:hAnsi="Arial" w:cs="Arial"/>
                <w:sz w:val="20"/>
                <w:szCs w:val="20"/>
              </w:rPr>
              <w:t xml:space="preserve">to prepare and review monthly </w:t>
            </w:r>
            <w:r w:rsidR="00BB529A" w:rsidRPr="00525419">
              <w:rPr>
                <w:rFonts w:ascii="Arial" w:hAnsi="Arial" w:cs="Arial"/>
                <w:sz w:val="20"/>
                <w:szCs w:val="20"/>
              </w:rPr>
              <w:t>management reports and providing challenge on outputs compared to known events and historical trends.</w:t>
            </w:r>
          </w:p>
          <w:p w14:paraId="425EEDB1" w14:textId="77777777" w:rsidR="00E420EE" w:rsidRPr="00525419" w:rsidRDefault="00E420EE" w:rsidP="005254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25419">
              <w:rPr>
                <w:rFonts w:ascii="Arial" w:hAnsi="Arial" w:cs="Arial"/>
                <w:sz w:val="20"/>
                <w:szCs w:val="20"/>
              </w:rPr>
              <w:t>Undertaking other duties and tasks that from time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–</w:t>
            </w:r>
            <w:r w:rsidRPr="00525419">
              <w:rPr>
                <w:rFonts w:ascii="Arial" w:hAnsi="Arial" w:cs="Arial"/>
                <w:sz w:val="20"/>
                <w:szCs w:val="20"/>
              </w:rPr>
              <w:t>to</w:t>
            </w:r>
            <w:r w:rsidR="00A7731C" w:rsidRPr="00525419">
              <w:rPr>
                <w:rFonts w:ascii="Arial" w:hAnsi="Arial" w:cs="Arial"/>
                <w:sz w:val="20"/>
                <w:szCs w:val="20"/>
              </w:rPr>
              <w:t>-</w:t>
            </w:r>
            <w:r w:rsidRPr="00525419">
              <w:rPr>
                <w:rFonts w:ascii="Arial" w:hAnsi="Arial" w:cs="Arial"/>
                <w:sz w:val="20"/>
                <w:szCs w:val="20"/>
              </w:rPr>
              <w:t>time may be allocated to the role holder that are appropriate to the level or role.</w:t>
            </w:r>
          </w:p>
          <w:p w14:paraId="4ED1783D" w14:textId="77777777" w:rsidR="00E420EE" w:rsidRPr="00B75089" w:rsidRDefault="00E420EE" w:rsidP="00E420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B4774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FEC6875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800F6DE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B98AA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6C51E48" w14:textId="77777777" w:rsidTr="007F42E6">
        <w:trPr>
          <w:trHeight w:val="693"/>
        </w:trPr>
        <w:tc>
          <w:tcPr>
            <w:tcW w:w="10490" w:type="dxa"/>
          </w:tcPr>
          <w:p w14:paraId="6B701AE8" w14:textId="77777777" w:rsidR="005542D1" w:rsidRPr="00300203" w:rsidRDefault="001459DA" w:rsidP="00300203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459D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13278E7E" w14:textId="77777777" w:rsidR="001459DA" w:rsidRPr="00B75089" w:rsidRDefault="001459DA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C730B9E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F92458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2FA8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0D1F1D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6EAE4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12DE125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192CAABD" w14:textId="77777777" w:rsidTr="00FF16B8">
        <w:trPr>
          <w:trHeight w:val="211"/>
        </w:trPr>
        <w:tc>
          <w:tcPr>
            <w:tcW w:w="6008" w:type="dxa"/>
          </w:tcPr>
          <w:p w14:paraId="14918F1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Fresh Thinking</w:t>
            </w:r>
          </w:p>
        </w:tc>
        <w:tc>
          <w:tcPr>
            <w:tcW w:w="4482" w:type="dxa"/>
          </w:tcPr>
          <w:p w14:paraId="2F2AD4A6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2276">
              <w:rPr>
                <w:rFonts w:ascii="Arial" w:hAnsi="Arial" w:cs="Arial"/>
                <w:sz w:val="20"/>
                <w:szCs w:val="20"/>
              </w:rPr>
            </w:r>
            <w:r w:rsidR="0020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14:paraId="66E3B5CE" w14:textId="77777777" w:rsidTr="00FF16B8">
        <w:trPr>
          <w:trHeight w:val="211"/>
        </w:trPr>
        <w:tc>
          <w:tcPr>
            <w:tcW w:w="6008" w:type="dxa"/>
          </w:tcPr>
          <w:p w14:paraId="619EE49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7B5073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2276">
              <w:rPr>
                <w:rFonts w:ascii="Arial" w:hAnsi="Arial" w:cs="Arial"/>
                <w:sz w:val="20"/>
                <w:szCs w:val="20"/>
              </w:rPr>
            </w:r>
            <w:r w:rsidR="0020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AEA41DB" w14:textId="77777777" w:rsidTr="00FF16B8">
        <w:trPr>
          <w:trHeight w:val="211"/>
        </w:trPr>
        <w:tc>
          <w:tcPr>
            <w:tcW w:w="6008" w:type="dxa"/>
          </w:tcPr>
          <w:p w14:paraId="48C2895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6A1B78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2276">
              <w:rPr>
                <w:rFonts w:ascii="Arial" w:hAnsi="Arial" w:cs="Arial"/>
                <w:sz w:val="20"/>
                <w:szCs w:val="20"/>
              </w:rPr>
            </w:r>
            <w:r w:rsidR="0020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46D4459C" w14:textId="77777777" w:rsidTr="00FF16B8">
        <w:trPr>
          <w:trHeight w:val="211"/>
        </w:trPr>
        <w:tc>
          <w:tcPr>
            <w:tcW w:w="6008" w:type="dxa"/>
          </w:tcPr>
          <w:p w14:paraId="47ED3E5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37E140E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2276">
              <w:rPr>
                <w:rFonts w:ascii="Arial" w:hAnsi="Arial" w:cs="Arial"/>
                <w:sz w:val="20"/>
                <w:szCs w:val="20"/>
              </w:rPr>
            </w:r>
            <w:r w:rsidR="0020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94647DC" w14:textId="77777777" w:rsidTr="00FF16B8">
        <w:trPr>
          <w:trHeight w:val="211"/>
        </w:trPr>
        <w:tc>
          <w:tcPr>
            <w:tcW w:w="6008" w:type="dxa"/>
          </w:tcPr>
          <w:p w14:paraId="587F5A7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8BF986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2276">
              <w:rPr>
                <w:rFonts w:ascii="Arial" w:hAnsi="Arial" w:cs="Arial"/>
                <w:sz w:val="20"/>
                <w:szCs w:val="20"/>
              </w:rPr>
            </w:r>
            <w:r w:rsidR="0020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C9756A5" w14:textId="77777777" w:rsidTr="00FF16B8">
        <w:trPr>
          <w:trHeight w:val="211"/>
        </w:trPr>
        <w:tc>
          <w:tcPr>
            <w:tcW w:w="6008" w:type="dxa"/>
          </w:tcPr>
          <w:p w14:paraId="783FB5B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F2AEB7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02276">
              <w:rPr>
                <w:rFonts w:ascii="Arial" w:hAnsi="Arial" w:cs="Arial"/>
                <w:sz w:val="20"/>
                <w:szCs w:val="20"/>
              </w:rPr>
            </w:r>
            <w:r w:rsidR="002022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544"/>
        <w:gridCol w:w="3969"/>
      </w:tblGrid>
      <w:tr w:rsidR="00FF16B8" w:rsidRPr="00B75089" w14:paraId="676B091B" w14:textId="77777777" w:rsidTr="0052541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04E3D6C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33B44ED0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740615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BE265DF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D1B47E2" w14:textId="77777777" w:rsidTr="0052541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0493CA2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64A7D4F0" w14:textId="77777777" w:rsidR="00E40AC5" w:rsidRPr="00E420EE" w:rsidRDefault="002D4A77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ACA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31D2F" w:rsidRPr="00E420EE">
              <w:rPr>
                <w:rFonts w:ascii="Arial" w:eastAsia="Calibri" w:hAnsi="Arial" w:cs="Arial"/>
                <w:sz w:val="20"/>
                <w:szCs w:val="20"/>
              </w:rPr>
              <w:t>qualification</w:t>
            </w:r>
            <w:r w:rsidR="00BA68E4">
              <w:rPr>
                <w:rFonts w:ascii="Arial" w:eastAsia="Calibri" w:hAnsi="Arial" w:cs="Arial"/>
                <w:sz w:val="20"/>
                <w:szCs w:val="20"/>
              </w:rPr>
              <w:t xml:space="preserve"> (or similar)</w:t>
            </w:r>
            <w:r w:rsidR="00231D2F" w:rsidRPr="00300203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5A0DCF9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Highly numerate</w:t>
            </w:r>
          </w:p>
          <w:p w14:paraId="5749F181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attention to detail</w:t>
            </w:r>
          </w:p>
          <w:p w14:paraId="4AC2D2C8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written communication skills</w:t>
            </w:r>
          </w:p>
          <w:p w14:paraId="2F1D123B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Good I.T. skills including a 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 xml:space="preserve">strong 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working knowledge of Word, Excel, Outlook and </w:t>
            </w:r>
            <w:proofErr w:type="spellStart"/>
            <w:r w:rsidRPr="00E420EE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9513788" w14:textId="77777777" w:rsidR="00E40AC5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>trong analytical skills.</w:t>
            </w:r>
          </w:p>
          <w:p w14:paraId="0BCC0492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 xml:space="preserve">trong inter-personal skills </w:t>
            </w:r>
          </w:p>
          <w:p w14:paraId="2CD8164E" w14:textId="77777777" w:rsidR="00B65565" w:rsidRPr="00E420EE" w:rsidRDefault="00B65565" w:rsidP="00E420EE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DC69D3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Experience of working in a similar role as part of a finance team is essential</w:t>
            </w:r>
          </w:p>
          <w:p w14:paraId="3AD4CC66" w14:textId="77777777" w:rsidR="00E40AC5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Significant previous experience of production of reconciliations including identifying and resolving the resulting queries, with experience of large bank reconciliations is an advantage</w:t>
            </w:r>
          </w:p>
          <w:p w14:paraId="10B22B91" w14:textId="77777777" w:rsidR="002D4A77" w:rsidRDefault="002D4A77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Preparation of statutory financial statements under UK Financial reporting and IFRS for SMEs</w:t>
            </w:r>
          </w:p>
          <w:p w14:paraId="1E3E0A3B" w14:textId="77777777" w:rsidR="002D4A77" w:rsidRPr="00E420EE" w:rsidRDefault="002D4A77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improvement of systems and/or processes</w:t>
            </w:r>
          </w:p>
        </w:tc>
      </w:tr>
      <w:tr w:rsidR="00FF16B8" w:rsidRPr="00B75089" w14:paraId="1D8B25FD" w14:textId="77777777" w:rsidTr="0052541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AA189C3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122EBD75" w14:textId="77777777" w:rsidR="00E40AC5" w:rsidRPr="00E420EE" w:rsidRDefault="00A7731C" w:rsidP="0052541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Operating within a service industry</w:t>
            </w:r>
          </w:p>
        </w:tc>
        <w:tc>
          <w:tcPr>
            <w:tcW w:w="3544" w:type="dxa"/>
          </w:tcPr>
          <w:p w14:paraId="2626ED26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Coda is desirable as is knowledge of investment accounting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E6494C2" w14:textId="77777777" w:rsidR="00E40AC5" w:rsidRPr="00E420EE" w:rsidRDefault="00E40AC5" w:rsidP="00E420EE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ABBB08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Accounting for fixed assets</w:t>
            </w:r>
          </w:p>
          <w:p w14:paraId="5E32F29A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Accounting for investments</w:t>
            </w:r>
          </w:p>
          <w:p w14:paraId="6391EFD6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Calculation of sales taxes payable (e.g. VAT)</w:t>
            </w:r>
          </w:p>
          <w:p w14:paraId="70AAC22D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Production of 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>ear-end tax packs</w:t>
            </w:r>
          </w:p>
          <w:p w14:paraId="21F70BC4" w14:textId="0C91D9C8" w:rsidR="00E40AC5" w:rsidRPr="003D428C" w:rsidRDefault="00B65565" w:rsidP="00BA68E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budget process</w:t>
            </w:r>
          </w:p>
        </w:tc>
      </w:tr>
    </w:tbl>
    <w:p w14:paraId="7E3D0ED5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8C19" w14:textId="77777777" w:rsidR="008234DA" w:rsidRDefault="008234DA" w:rsidP="009E22D0">
      <w:pPr>
        <w:spacing w:after="0" w:line="240" w:lineRule="auto"/>
      </w:pPr>
      <w:r>
        <w:separator/>
      </w:r>
    </w:p>
  </w:endnote>
  <w:endnote w:type="continuationSeparator" w:id="0">
    <w:p w14:paraId="5B40F610" w14:textId="77777777" w:rsidR="008234DA" w:rsidRDefault="008234DA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FCDD" w14:textId="77777777" w:rsidR="008234DA" w:rsidRDefault="008234DA" w:rsidP="009E22D0">
      <w:pPr>
        <w:spacing w:after="0" w:line="240" w:lineRule="auto"/>
      </w:pPr>
      <w:r>
        <w:separator/>
      </w:r>
    </w:p>
  </w:footnote>
  <w:footnote w:type="continuationSeparator" w:id="0">
    <w:p w14:paraId="13FEBCC1" w14:textId="77777777" w:rsidR="008234DA" w:rsidRDefault="008234DA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DDE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C9E09E5" wp14:editId="55EE915F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BC4"/>
    <w:multiLevelType w:val="hybridMultilevel"/>
    <w:tmpl w:val="234E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3E8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82F60"/>
    <w:rsid w:val="000E4361"/>
    <w:rsid w:val="001036A8"/>
    <w:rsid w:val="00135F78"/>
    <w:rsid w:val="001459DA"/>
    <w:rsid w:val="0015016B"/>
    <w:rsid w:val="001D305E"/>
    <w:rsid w:val="001F43A5"/>
    <w:rsid w:val="00202276"/>
    <w:rsid w:val="00231D2F"/>
    <w:rsid w:val="002B557F"/>
    <w:rsid w:val="002D4A77"/>
    <w:rsid w:val="002D5639"/>
    <w:rsid w:val="002D7ABB"/>
    <w:rsid w:val="00300203"/>
    <w:rsid w:val="00385AA3"/>
    <w:rsid w:val="003D428C"/>
    <w:rsid w:val="00471ED6"/>
    <w:rsid w:val="004D18E8"/>
    <w:rsid w:val="00525419"/>
    <w:rsid w:val="005542D1"/>
    <w:rsid w:val="0056188D"/>
    <w:rsid w:val="006219B1"/>
    <w:rsid w:val="00644BB2"/>
    <w:rsid w:val="00666EB3"/>
    <w:rsid w:val="006F54B6"/>
    <w:rsid w:val="00711E46"/>
    <w:rsid w:val="00717094"/>
    <w:rsid w:val="007762EE"/>
    <w:rsid w:val="007E7CA1"/>
    <w:rsid w:val="00813AEB"/>
    <w:rsid w:val="008234DA"/>
    <w:rsid w:val="009E22D0"/>
    <w:rsid w:val="00A4414A"/>
    <w:rsid w:val="00A7731C"/>
    <w:rsid w:val="00AD1A8F"/>
    <w:rsid w:val="00AD34A1"/>
    <w:rsid w:val="00B270A3"/>
    <w:rsid w:val="00B65565"/>
    <w:rsid w:val="00B75089"/>
    <w:rsid w:val="00BA68E4"/>
    <w:rsid w:val="00BB529A"/>
    <w:rsid w:val="00C91CFA"/>
    <w:rsid w:val="00D56C90"/>
    <w:rsid w:val="00D62562"/>
    <w:rsid w:val="00D95CF1"/>
    <w:rsid w:val="00DC593B"/>
    <w:rsid w:val="00E40AC5"/>
    <w:rsid w:val="00E420EE"/>
    <w:rsid w:val="00EF66CD"/>
    <w:rsid w:val="00F34F87"/>
    <w:rsid w:val="00F5319A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1E7C80"/>
  <w15:docId w15:val="{9AF83B0C-1032-4E77-B59C-892D969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FFB07932-5571-41B4-8CEF-5BCB127904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Woods, Nadine</cp:lastModifiedBy>
  <cp:revision>3</cp:revision>
  <dcterms:created xsi:type="dcterms:W3CDTF">2019-07-04T09:44:00Z</dcterms:created>
  <dcterms:modified xsi:type="dcterms:W3CDTF">2019-07-10T12:48:00Z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5a79c269-daf7-4d14-ba93-f78c7a307af3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KkhoDxU+lGcQck+el3mT//PEGX3O/rpd</vt:lpwstr>
  </property>
</Properties>
</file>