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B75089" w14:paraId="7E5CA0C8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627DDE8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5F3F875D" w14:textId="764BB3D1" w:rsidR="00052D4B" w:rsidRPr="008F0259" w:rsidRDefault="003A5A7A" w:rsidP="006E661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Development Manager </w:t>
            </w:r>
            <w:r w:rsidR="006E6613">
              <w:rPr>
                <w:rFonts w:ascii="Arial" w:hAnsi="Arial" w:cs="Arial"/>
                <w:sz w:val="20"/>
                <w:szCs w:val="20"/>
              </w:rPr>
              <w:t>(</w:t>
            </w:r>
            <w:r w:rsidR="00B41A09">
              <w:rPr>
                <w:rFonts w:ascii="Arial" w:hAnsi="Arial" w:cs="Arial"/>
                <w:sz w:val="20"/>
                <w:szCs w:val="20"/>
              </w:rPr>
              <w:t>Hong Kong</w:t>
            </w:r>
            <w:r w:rsidR="006E6613">
              <w:rPr>
                <w:rFonts w:ascii="Arial" w:hAnsi="Arial" w:cs="Arial"/>
                <w:sz w:val="20"/>
                <w:szCs w:val="20"/>
              </w:rPr>
              <w:t>)</w:t>
            </w:r>
            <w:r w:rsidRPr="002B0CB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38E0C4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58137AD8" w14:textId="77777777" w:rsidR="00F5319A" w:rsidRPr="00B75089" w:rsidRDefault="006E6613" w:rsidP="00583281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Director</w:t>
            </w:r>
            <w:r w:rsidR="00583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3DBB0C7B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912393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550E8F40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9A63B7" w14:textId="77777777" w:rsidR="00F5319A" w:rsidRPr="00B75089" w:rsidRDefault="006219B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7FF038AC" w14:textId="77777777" w:rsidR="00F5319A" w:rsidRPr="00B75089" w:rsidRDefault="00583281" w:rsidP="00583281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</w:tc>
      </w:tr>
      <w:tr w:rsidR="00F5319A" w:rsidRPr="00B75089" w14:paraId="18C5A1E7" w14:textId="77777777" w:rsidTr="00C5762C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BDA9709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</w:tcPr>
          <w:p w14:paraId="1BE111A2" w14:textId="7CF1CEE8" w:rsidR="00D93934" w:rsidRDefault="008F0259" w:rsidP="00A03B6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Circa </w:t>
            </w:r>
            <w:r w:rsidR="00032AA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E6613">
              <w:rPr>
                <w:rFonts w:ascii="Arial" w:hAnsi="Arial" w:cs="Arial"/>
                <w:sz w:val="20"/>
                <w:szCs w:val="20"/>
              </w:rPr>
              <w:t xml:space="preserve">direct reports </w:t>
            </w:r>
          </w:p>
          <w:p w14:paraId="246E33C4" w14:textId="77777777" w:rsidR="00583281" w:rsidRPr="002E11AF" w:rsidRDefault="00583281" w:rsidP="00637E20">
            <w:pPr>
              <w:pStyle w:val="Header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C4BDB8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40AF1BAD" w14:textId="3AFB2226" w:rsidR="00B75089" w:rsidRPr="00B75089" w:rsidRDefault="00982E12" w:rsidP="003A5A7A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</w:tr>
      <w:tr w:rsidR="00F5319A" w:rsidRPr="00B75089" w14:paraId="71AA697F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0E0DD87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D9F703C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A1B916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1F46749C" w14:textId="03A79142" w:rsidR="003A5A7A" w:rsidRPr="00B75089" w:rsidRDefault="008F0259" w:rsidP="003A5A7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reports</w:t>
            </w:r>
          </w:p>
          <w:p w14:paraId="6CF4428F" w14:textId="77777777" w:rsidR="00F5319A" w:rsidRPr="00B75089" w:rsidRDefault="00F5319A" w:rsidP="002E11A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0F3AE100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19E2F97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C94707A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ABA9C7" w14:textId="77777777" w:rsidR="00F5319A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259CE646" w14:textId="77777777" w:rsidR="00F5319A" w:rsidRPr="00B75089" w:rsidRDefault="003A5A7A" w:rsidP="00583281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7261FC37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0D6811C" w14:textId="77777777" w:rsidR="007E7CA1" w:rsidRPr="00B75089" w:rsidRDefault="007E7CA1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2023ED49" w14:textId="77777777" w:rsidR="007E7CA1" w:rsidRPr="00B75089" w:rsidRDefault="004E4560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1649C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52C264" w14:textId="77777777" w:rsidR="007E7CA1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0AF84B00" w14:textId="77777777" w:rsidR="007E7CA1" w:rsidRPr="00B75089" w:rsidRDefault="001F16DF" w:rsidP="004E4560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3415B32E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6D50257" w14:textId="77777777" w:rsidTr="00FE4353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3F87C673" w14:textId="77777777" w:rsidR="009E22D0" w:rsidRPr="00B75089" w:rsidRDefault="009E22D0" w:rsidP="00FE43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1E526A3E" w14:textId="77777777" w:rsidTr="00C874F8">
        <w:trPr>
          <w:trHeight w:val="669"/>
        </w:trPr>
        <w:tc>
          <w:tcPr>
            <w:tcW w:w="10509" w:type="dxa"/>
            <w:vAlign w:val="center"/>
          </w:tcPr>
          <w:p w14:paraId="44C7B845" w14:textId="47A8134C" w:rsidR="0018283E" w:rsidRPr="006E6613" w:rsidRDefault="004E4560" w:rsidP="0018283E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DB6D5C">
              <w:rPr>
                <w:rFonts w:ascii="Arial" w:hAnsi="Arial" w:cs="Arial"/>
                <w:sz w:val="20"/>
                <w:szCs w:val="20"/>
              </w:rPr>
              <w:t>scop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B6D5C">
              <w:rPr>
                <w:rFonts w:ascii="Arial" w:hAnsi="Arial" w:cs="Arial"/>
                <w:sz w:val="20"/>
                <w:szCs w:val="20"/>
              </w:rPr>
              <w:t>, build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D5C">
              <w:rPr>
                <w:rFonts w:ascii="Arial" w:hAnsi="Arial" w:cs="Arial"/>
                <w:sz w:val="20"/>
                <w:szCs w:val="20"/>
              </w:rPr>
              <w:t>and execut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E6613" w:rsidRPr="006E6613">
              <w:rPr>
                <w:rFonts w:ascii="Arial" w:hAnsi="Arial" w:cs="Arial"/>
                <w:sz w:val="20"/>
                <w:szCs w:val="20"/>
              </w:rPr>
              <w:t xml:space="preserve">the delivery of </w:t>
            </w:r>
            <w:r>
              <w:rPr>
                <w:rFonts w:ascii="Arial" w:hAnsi="Arial" w:cs="Arial"/>
                <w:sz w:val="20"/>
                <w:szCs w:val="20"/>
              </w:rPr>
              <w:t>MPS</w:t>
            </w:r>
            <w:r w:rsidR="006E6613" w:rsidRPr="006E6613">
              <w:rPr>
                <w:rFonts w:ascii="Arial" w:hAnsi="Arial" w:cs="Arial"/>
                <w:sz w:val="20"/>
                <w:szCs w:val="20"/>
              </w:rPr>
              <w:t xml:space="preserve"> acquisition, en</w:t>
            </w:r>
            <w:r w:rsidR="006E6613">
              <w:rPr>
                <w:rFonts w:ascii="Arial" w:hAnsi="Arial" w:cs="Arial"/>
                <w:sz w:val="20"/>
                <w:szCs w:val="20"/>
              </w:rPr>
              <w:t xml:space="preserve">gagement and retention activity </w:t>
            </w:r>
            <w:r w:rsidR="006E6613" w:rsidRPr="006E6613">
              <w:rPr>
                <w:rFonts w:ascii="Arial" w:hAnsi="Arial" w:cs="Arial"/>
                <w:sz w:val="20"/>
                <w:szCs w:val="20"/>
              </w:rPr>
              <w:t xml:space="preserve">in the development, </w:t>
            </w:r>
            <w:proofErr w:type="gramStart"/>
            <w:r w:rsidR="006E6613" w:rsidRPr="006E6613">
              <w:rPr>
                <w:rFonts w:ascii="Arial" w:hAnsi="Arial" w:cs="Arial"/>
                <w:sz w:val="20"/>
                <w:szCs w:val="20"/>
              </w:rPr>
              <w:t>alignment</w:t>
            </w:r>
            <w:proofErr w:type="gramEnd"/>
            <w:r w:rsidR="006E6613" w:rsidRPr="006E6613">
              <w:rPr>
                <w:rFonts w:ascii="Arial" w:hAnsi="Arial" w:cs="Arial"/>
                <w:sz w:val="20"/>
                <w:szCs w:val="20"/>
              </w:rPr>
              <w:t xml:space="preserve"> and execution of the </w:t>
            </w:r>
            <w:r w:rsidR="008F025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F077B6">
              <w:rPr>
                <w:rFonts w:ascii="Arial" w:hAnsi="Arial" w:cs="Arial"/>
                <w:sz w:val="20"/>
                <w:szCs w:val="20"/>
              </w:rPr>
              <w:t>HK</w:t>
            </w:r>
            <w:r w:rsidR="00DB6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3E">
              <w:rPr>
                <w:rFonts w:ascii="Arial" w:hAnsi="Arial" w:cs="Arial"/>
                <w:sz w:val="20"/>
                <w:szCs w:val="20"/>
              </w:rPr>
              <w:t>MPS business</w:t>
            </w:r>
            <w:r w:rsidR="00556D58">
              <w:rPr>
                <w:rFonts w:ascii="Arial" w:hAnsi="Arial" w:cs="Arial"/>
                <w:sz w:val="20"/>
                <w:szCs w:val="20"/>
              </w:rPr>
              <w:t>. Working with stakeholders the role will</w:t>
            </w:r>
            <w:r w:rsidR="00182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D58">
              <w:rPr>
                <w:rFonts w:ascii="Arial" w:hAnsi="Arial" w:cs="Arial"/>
                <w:sz w:val="20"/>
                <w:szCs w:val="20"/>
              </w:rPr>
              <w:t>lead</w:t>
            </w:r>
            <w:r w:rsidR="0018283E">
              <w:rPr>
                <w:rFonts w:ascii="Arial" w:hAnsi="Arial" w:cs="Arial"/>
                <w:sz w:val="20"/>
                <w:szCs w:val="20"/>
              </w:rPr>
              <w:t xml:space="preserve"> to deliver enhanced performance</w:t>
            </w:r>
            <w:r w:rsidR="00556D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556D58">
              <w:rPr>
                <w:rFonts w:ascii="Arial" w:hAnsi="Arial" w:cs="Arial"/>
                <w:sz w:val="20"/>
                <w:szCs w:val="20"/>
              </w:rPr>
              <w:t>retention</w:t>
            </w:r>
            <w:proofErr w:type="gramEnd"/>
            <w:r w:rsidR="00556D58">
              <w:rPr>
                <w:rFonts w:ascii="Arial" w:hAnsi="Arial" w:cs="Arial"/>
                <w:sz w:val="20"/>
                <w:szCs w:val="20"/>
              </w:rPr>
              <w:t xml:space="preserve"> and growth targets</w:t>
            </w:r>
            <w:r w:rsidR="0018283E">
              <w:rPr>
                <w:rFonts w:ascii="Arial" w:hAnsi="Arial" w:cs="Arial"/>
                <w:sz w:val="20"/>
                <w:szCs w:val="20"/>
              </w:rPr>
              <w:t xml:space="preserve"> by supporting greater understanding and development of the </w:t>
            </w:r>
            <w:r w:rsidR="008F025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F077B6">
              <w:rPr>
                <w:rFonts w:ascii="Arial" w:hAnsi="Arial" w:cs="Arial"/>
                <w:sz w:val="20"/>
                <w:szCs w:val="20"/>
              </w:rPr>
              <w:t>HK</w:t>
            </w:r>
            <w:r w:rsidR="0018283E">
              <w:rPr>
                <w:rFonts w:ascii="Arial" w:hAnsi="Arial" w:cs="Arial"/>
                <w:sz w:val="20"/>
                <w:szCs w:val="20"/>
              </w:rPr>
              <w:t xml:space="preserve"> market.</w:t>
            </w:r>
          </w:p>
          <w:p w14:paraId="3CF501CA" w14:textId="77777777" w:rsidR="009E22D0" w:rsidRPr="002640B5" w:rsidRDefault="009E22D0" w:rsidP="0018283E">
            <w:pPr>
              <w:spacing w:after="0" w:line="26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2876A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567CBFAC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73D1E4DE" w14:textId="77777777" w:rsidR="009E22D0" w:rsidRPr="00B75089" w:rsidRDefault="009E22D0" w:rsidP="002640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46000C" w14:textId="77777777" w:rsidR="009E22D0" w:rsidRPr="00B75089" w:rsidRDefault="009E22D0" w:rsidP="002640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4AA59426" w14:textId="77777777" w:rsidTr="00C5762C">
        <w:trPr>
          <w:trHeight w:val="3569"/>
        </w:trPr>
        <w:tc>
          <w:tcPr>
            <w:tcW w:w="6771" w:type="dxa"/>
          </w:tcPr>
          <w:p w14:paraId="0AD2183B" w14:textId="77777777" w:rsidR="00C5762C" w:rsidRDefault="00D84FA2" w:rsidP="00C5762C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Leadership </w:t>
            </w:r>
          </w:p>
          <w:p w14:paraId="38F854BE" w14:textId="1AE854E1" w:rsidR="00C5762C" w:rsidRPr="00C5762C" w:rsidRDefault="00C5762C" w:rsidP="00DE7F43">
            <w:pPr>
              <w:pStyle w:val="ListParagraph"/>
              <w:numPr>
                <w:ilvl w:val="0"/>
                <w:numId w:val="19"/>
              </w:numPr>
              <w:spacing w:before="120" w:after="8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762C">
              <w:rPr>
                <w:rFonts w:ascii="Arial" w:eastAsia="Calibri" w:hAnsi="Arial" w:cs="Arial"/>
                <w:sz w:val="20"/>
                <w:szCs w:val="20"/>
              </w:rPr>
              <w:t>Pr</w:t>
            </w:r>
            <w:r w:rsidR="001F6F9B" w:rsidRPr="00C5762C">
              <w:rPr>
                <w:rFonts w:ascii="Arial" w:eastAsia="Calibri" w:hAnsi="Arial" w:cs="Arial"/>
                <w:sz w:val="20"/>
                <w:szCs w:val="20"/>
              </w:rPr>
              <w:t xml:space="preserve">ovide leadership to the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>relevant</w:t>
            </w:r>
            <w:r w:rsidR="001F6F9B" w:rsidRPr="00C5762C">
              <w:rPr>
                <w:rFonts w:ascii="Arial" w:eastAsia="Calibri" w:hAnsi="Arial" w:cs="Arial"/>
                <w:sz w:val="20"/>
                <w:szCs w:val="20"/>
              </w:rPr>
              <w:t xml:space="preserve"> Business development team to deliver on the overall corporate strategy, business performance, leadership of teams that reinforces the desired culture and delivery of strategic priorities.</w:t>
            </w:r>
          </w:p>
          <w:p w14:paraId="29D7D78A" w14:textId="68A8D6F1" w:rsidR="00DE7F43" w:rsidRPr="00C5762C" w:rsidRDefault="001F6F9B" w:rsidP="00DE7F43">
            <w:pPr>
              <w:pStyle w:val="ListParagraph"/>
              <w:numPr>
                <w:ilvl w:val="0"/>
                <w:numId w:val="19"/>
              </w:numPr>
              <w:spacing w:before="120" w:after="8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762C">
              <w:rPr>
                <w:rFonts w:ascii="Arial" w:eastAsia="Calibri" w:hAnsi="Arial" w:cs="Arial"/>
                <w:sz w:val="20"/>
                <w:szCs w:val="20"/>
              </w:rPr>
              <w:t xml:space="preserve">Lead the development and delivery of the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 xml:space="preserve">relevant </w:t>
            </w:r>
            <w:r w:rsidR="00F077B6"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Pr="00C5762C">
              <w:rPr>
                <w:rFonts w:ascii="Arial" w:eastAsia="Calibri" w:hAnsi="Arial" w:cs="Arial"/>
                <w:sz w:val="20"/>
                <w:szCs w:val="20"/>
              </w:rPr>
              <w:t xml:space="preserve"> sales strategy to plan, cost and quality</w:t>
            </w:r>
            <w:r w:rsidRPr="00C5762C">
              <w:rPr>
                <w:rFonts w:ascii="Arial" w:hAnsi="Arial" w:cs="Arial"/>
                <w:bCs/>
                <w:sz w:val="20"/>
                <w:szCs w:val="20"/>
              </w:rPr>
              <w:t xml:space="preserve"> Deliver a </w:t>
            </w:r>
            <w:r w:rsidR="004515EE" w:rsidRPr="00C5762C">
              <w:rPr>
                <w:rFonts w:ascii="Arial" w:hAnsi="Arial" w:cs="Arial"/>
                <w:bCs/>
                <w:sz w:val="20"/>
                <w:szCs w:val="20"/>
              </w:rPr>
              <w:t>cross-</w:t>
            </w:r>
            <w:r w:rsidR="00DE7F43" w:rsidRPr="00C5762C">
              <w:rPr>
                <w:rFonts w:ascii="Arial" w:hAnsi="Arial" w:cs="Arial"/>
                <w:bCs/>
                <w:sz w:val="20"/>
                <w:szCs w:val="20"/>
              </w:rPr>
              <w:t xml:space="preserve">functional working environment with commercial focus and on-going development to </w:t>
            </w:r>
            <w:r w:rsidRPr="00C5762C">
              <w:rPr>
                <w:rFonts w:ascii="Arial" w:hAnsi="Arial" w:cs="Arial"/>
                <w:bCs/>
                <w:sz w:val="20"/>
                <w:szCs w:val="20"/>
              </w:rPr>
              <w:t xml:space="preserve">support MPS to </w:t>
            </w:r>
            <w:r w:rsidR="00DE7F43" w:rsidRPr="00C5762C">
              <w:rPr>
                <w:rFonts w:ascii="Arial" w:hAnsi="Arial" w:cs="Arial"/>
                <w:bCs/>
                <w:sz w:val="20"/>
                <w:szCs w:val="20"/>
              </w:rPr>
              <w:t>achieve the corporate aims</w:t>
            </w:r>
            <w:r w:rsidR="00DE7F43" w:rsidRPr="00C5762C">
              <w:rPr>
                <w:rFonts w:ascii="Arial" w:hAnsi="Arial" w:cs="Arial"/>
                <w:bCs/>
              </w:rPr>
              <w:t xml:space="preserve">. </w:t>
            </w:r>
          </w:p>
          <w:p w14:paraId="58748CCB" w14:textId="6A35F542" w:rsidR="00FE4353" w:rsidRDefault="00FE4353" w:rsidP="004515EE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and lead where required on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Development and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>Strategic Planning</w:t>
            </w:r>
            <w:r w:rsidR="00D84FA2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>relevant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 xml:space="preserve">market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Development and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>Strategic Planning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  <w:p w14:paraId="0A4A226A" w14:textId="77777777" w:rsidR="00201C8F" w:rsidRPr="00201C8F" w:rsidRDefault="00201C8F" w:rsidP="00201C8F">
            <w:pPr>
              <w:spacing w:before="120" w:after="8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916E7BE" w14:textId="77777777" w:rsidR="00C91CFA" w:rsidRPr="00B75089" w:rsidRDefault="00C91CFA" w:rsidP="00A03B6F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EC53671" w14:textId="77777777" w:rsidR="00644BB2" w:rsidRPr="00644BB2" w:rsidRDefault="00644BB2" w:rsidP="00637E2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EC685C2" w14:textId="77777777" w:rsidR="00644BB2" w:rsidRPr="00644BB2" w:rsidRDefault="00644BB2" w:rsidP="002B54C2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31065538" w14:textId="3F03649C" w:rsidR="00D84FA2" w:rsidRPr="00D84FA2" w:rsidRDefault="00F077B6" w:rsidP="002B54C2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6E661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MPS engagement index Vs plan</w:t>
            </w:r>
          </w:p>
          <w:p w14:paraId="5B0014D7" w14:textId="77777777" w:rsidR="00D84FA2" w:rsidRPr="00D84FA2" w:rsidRDefault="00D84FA2" w:rsidP="002B54C2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84FA2">
              <w:rPr>
                <w:rFonts w:ascii="Arial" w:eastAsia="Calibri" w:hAnsi="Arial" w:cs="Arial"/>
                <w:sz w:val="20"/>
                <w:szCs w:val="20"/>
              </w:rPr>
              <w:t>MPS leadership index Vs plan</w:t>
            </w:r>
          </w:p>
          <w:p w14:paraId="2D2C7198" w14:textId="6C3DFA87" w:rsidR="00D84FA2" w:rsidRPr="00D84FA2" w:rsidRDefault="00FE4353" w:rsidP="002B54C2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Development and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>Engagement</w:t>
            </w:r>
            <w:r w:rsidR="001A1B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index Vs plan</w:t>
            </w:r>
          </w:p>
          <w:p w14:paraId="1D0EA6DE" w14:textId="77777777" w:rsidR="00D84FA2" w:rsidRPr="00D84FA2" w:rsidRDefault="00FE4353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Development and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>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leadership index Vs plan</w:t>
            </w:r>
          </w:p>
          <w:p w14:paraId="56245389" w14:textId="77777777" w:rsidR="009E22D0" w:rsidRPr="00B75089" w:rsidRDefault="00D84F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84FA2">
              <w:rPr>
                <w:rFonts w:ascii="Arial" w:eastAsia="Calibri" w:hAnsi="Arial" w:cs="Arial"/>
                <w:sz w:val="20"/>
                <w:szCs w:val="20"/>
              </w:rPr>
              <w:t>Delivery people plans Vs Plan</w:t>
            </w:r>
          </w:p>
        </w:tc>
      </w:tr>
      <w:tr w:rsidR="009E22D0" w:rsidRPr="00B75089" w14:paraId="066BAE31" w14:textId="77777777" w:rsidTr="00C874F8">
        <w:trPr>
          <w:trHeight w:val="578"/>
        </w:trPr>
        <w:tc>
          <w:tcPr>
            <w:tcW w:w="6771" w:type="dxa"/>
          </w:tcPr>
          <w:p w14:paraId="4D31466D" w14:textId="77777777" w:rsidR="009E22D0" w:rsidRPr="00FE4353" w:rsidRDefault="009E22D0" w:rsidP="00FE4353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667AE84" w14:textId="77777777" w:rsidR="00DE7F43" w:rsidRDefault="00D84FA2" w:rsidP="00DE7F43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Work with 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8175E3">
              <w:rPr>
                <w:rFonts w:ascii="Arial" w:eastAsia="Calibri" w:hAnsi="Arial" w:cs="Arial"/>
                <w:sz w:val="20"/>
                <w:szCs w:val="20"/>
              </w:rPr>
              <w:t xml:space="preserve">regional and segment 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planning team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DE7F43">
              <w:rPr>
                <w:rFonts w:ascii="Arial" w:eastAsia="Calibri" w:hAnsi="Arial" w:cs="Arial"/>
                <w:sz w:val="20"/>
                <w:szCs w:val="20"/>
              </w:rPr>
              <w:t xml:space="preserve">define,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set and deliver the budget ensuring an efficient and effective </w:t>
            </w:r>
            <w:r w:rsidR="00380F69">
              <w:rPr>
                <w:rFonts w:ascii="Arial" w:eastAsia="Calibri" w:hAnsi="Arial" w:cs="Arial"/>
                <w:sz w:val="20"/>
                <w:szCs w:val="20"/>
              </w:rPr>
              <w:t xml:space="preserve">plan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which minimise cost and maximise financial sustainability without compromising the </w:t>
            </w:r>
            <w:r w:rsidR="00C32411">
              <w:rPr>
                <w:rFonts w:ascii="Arial" w:eastAsia="Calibri" w:hAnsi="Arial" w:cs="Arial"/>
                <w:sz w:val="20"/>
                <w:szCs w:val="20"/>
              </w:rPr>
              <w:t>quality of output or achievement of volume and income targets</w:t>
            </w:r>
          </w:p>
          <w:p w14:paraId="029F05E1" w14:textId="6C3B2217" w:rsidR="00DE7F43" w:rsidRPr="00DE7F43" w:rsidRDefault="00CF7BB7" w:rsidP="00DE7F43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 that distribution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inputs are clearly articulated and captured within </w:t>
            </w:r>
            <w:r w:rsidR="00DE7F43" w:rsidRPr="00DE7F43">
              <w:rPr>
                <w:rFonts w:ascii="Arial" w:eastAsia="Calibri" w:hAnsi="Arial" w:cs="Arial"/>
                <w:sz w:val="20"/>
                <w:szCs w:val="20"/>
              </w:rPr>
              <w:t xml:space="preserve">the annual commercial planning process for 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F077B6"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4515EE">
              <w:rPr>
                <w:rFonts w:ascii="Arial" w:eastAsia="Calibri" w:hAnsi="Arial" w:cs="Arial"/>
                <w:sz w:val="20"/>
                <w:szCs w:val="20"/>
              </w:rPr>
              <w:t xml:space="preserve"> segment</w:t>
            </w:r>
            <w:r w:rsidR="00DE7F43" w:rsidRPr="00DE7F43">
              <w:rPr>
                <w:rFonts w:ascii="Arial" w:eastAsia="Calibri" w:hAnsi="Arial" w:cs="Arial"/>
                <w:sz w:val="20"/>
                <w:szCs w:val="20"/>
              </w:rPr>
              <w:t xml:space="preserve"> to deliver clear, prioritised activity plans that balance market challenges with commercial imperatives.</w:t>
            </w:r>
          </w:p>
          <w:p w14:paraId="29B12909" w14:textId="77777777" w:rsidR="009E22D0" w:rsidRDefault="00644BB2" w:rsidP="00C32411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C32411"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="00C32411"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leadership team</w:t>
            </w:r>
          </w:p>
          <w:p w14:paraId="0C7FFCC4" w14:textId="77777777" w:rsidR="00C32411" w:rsidRPr="00644BB2" w:rsidRDefault="00C32411" w:rsidP="00C32411">
            <w:pPr>
              <w:pStyle w:val="ListParagraph"/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2510A20D" w14:textId="5F5643B0" w:rsidR="00644BB2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44BB2" w:rsidRPr="00FE4353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0A25A511" w14:textId="53E0BF24" w:rsidR="009E22D0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22D0" w:rsidRPr="00FE4353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613A3692" w14:textId="7379F821" w:rsidR="009E22D0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22D0" w:rsidRPr="00FE4353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114C5E20" w14:textId="588C151E" w:rsidR="009E22D0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22D0" w:rsidRPr="00FE4353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39C3B85C" w14:textId="20B2F172" w:rsidR="009E22D0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22D0" w:rsidRPr="00FE4353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14:paraId="248466E2" w14:textId="7A9DE0A8" w:rsidR="009E22D0" w:rsidRPr="00FE4353" w:rsidRDefault="00F077B6" w:rsidP="00C32411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22D0" w:rsidRPr="00FE4353">
              <w:rPr>
                <w:rFonts w:ascii="Arial" w:eastAsia="Calibri" w:hAnsi="Arial" w:cs="Arial"/>
                <w:sz w:val="20"/>
                <w:szCs w:val="20"/>
              </w:rPr>
              <w:t>Return on education Vs plan</w:t>
            </w:r>
          </w:p>
        </w:tc>
      </w:tr>
      <w:tr w:rsidR="009E22D0" w:rsidRPr="00B75089" w14:paraId="3B960B14" w14:textId="77777777" w:rsidTr="00C5762C">
        <w:trPr>
          <w:trHeight w:val="3464"/>
        </w:trPr>
        <w:tc>
          <w:tcPr>
            <w:tcW w:w="6771" w:type="dxa"/>
          </w:tcPr>
          <w:p w14:paraId="6C064937" w14:textId="77777777" w:rsidR="009E22D0" w:rsidRPr="00C874F8" w:rsidRDefault="009E22D0" w:rsidP="00C874F8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4833C4C2" w14:textId="5629F006" w:rsidR="00DE7F43" w:rsidRPr="00DE7F43" w:rsidRDefault="00B560AE" w:rsidP="00380F6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Provide </w:t>
            </w:r>
            <w:r w:rsidR="00DB6D5C">
              <w:rPr>
                <w:rFonts w:ascii="Arial" w:eastAsia="Calibri" w:hAnsi="Arial" w:cs="Arial"/>
                <w:sz w:val="20"/>
                <w:szCs w:val="20"/>
              </w:rPr>
              <w:t>market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insight to support </w:t>
            </w:r>
            <w:r w:rsidR="00DE7F43" w:rsidRPr="00DE7F43">
              <w:rPr>
                <w:rFonts w:ascii="Arial" w:eastAsia="Calibri" w:hAnsi="Arial" w:cs="Arial"/>
                <w:sz w:val="20"/>
                <w:szCs w:val="20"/>
              </w:rPr>
              <w:t xml:space="preserve">the annual commercial planning process </w:t>
            </w:r>
            <w:r>
              <w:rPr>
                <w:rFonts w:ascii="Arial" w:eastAsia="Calibri" w:hAnsi="Arial" w:cs="Arial"/>
                <w:sz w:val="20"/>
                <w:szCs w:val="20"/>
              </w:rPr>
              <w:t>ensuring that the</w:t>
            </w:r>
            <w:r w:rsidR="009E44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 xml:space="preserve">relevant </w:t>
            </w:r>
            <w:r w:rsidR="009E4424">
              <w:rPr>
                <w:rFonts w:ascii="Arial" w:eastAsia="Calibri" w:hAnsi="Arial" w:cs="Arial"/>
                <w:sz w:val="20"/>
                <w:szCs w:val="20"/>
              </w:rPr>
              <w:t xml:space="preserve">market distribution </w:t>
            </w:r>
            <w:r w:rsidR="002B0CB6">
              <w:rPr>
                <w:rFonts w:ascii="Arial" w:eastAsia="Calibri" w:hAnsi="Arial" w:cs="Arial"/>
                <w:sz w:val="20"/>
                <w:szCs w:val="20"/>
              </w:rPr>
              <w:t>dynamics, member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voice and nuances are articulated to ensure</w:t>
            </w:r>
            <w:r w:rsidR="00DE7F43" w:rsidRPr="00DE7F43">
              <w:rPr>
                <w:rFonts w:ascii="Arial" w:eastAsia="Calibri" w:hAnsi="Arial" w:cs="Arial"/>
                <w:sz w:val="20"/>
                <w:szCs w:val="20"/>
              </w:rPr>
              <w:t xml:space="preserve"> prioritised </w:t>
            </w:r>
            <w:r w:rsidR="009E4424">
              <w:rPr>
                <w:rFonts w:ascii="Arial" w:eastAsia="Calibri" w:hAnsi="Arial" w:cs="Arial"/>
                <w:sz w:val="20"/>
                <w:szCs w:val="20"/>
              </w:rPr>
              <w:t xml:space="preserve">business development </w:t>
            </w:r>
            <w:r w:rsidR="00DE7F43" w:rsidRPr="00DE7F43">
              <w:rPr>
                <w:rFonts w:ascii="Arial" w:eastAsia="Calibri" w:hAnsi="Arial" w:cs="Arial"/>
                <w:sz w:val="20"/>
                <w:szCs w:val="20"/>
              </w:rPr>
              <w:t xml:space="preserve">plans </w:t>
            </w:r>
            <w:r w:rsidR="009E4424">
              <w:rPr>
                <w:rFonts w:ascii="Arial" w:eastAsia="Calibri" w:hAnsi="Arial" w:cs="Arial"/>
                <w:sz w:val="20"/>
                <w:szCs w:val="20"/>
              </w:rPr>
              <w:t>are created</w:t>
            </w:r>
          </w:p>
          <w:p w14:paraId="05101109" w14:textId="2484EE86" w:rsidR="004B290F" w:rsidRDefault="000565E7" w:rsidP="007F096C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Monitor and provide robust challenge of emerging people risks and issues 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within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>market segment</w:t>
            </w:r>
            <w:r w:rsidR="00B560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arising from business activities which fail to deliver appropriate and consistent outcomes for members or are likely to have a material adverse effect on the Group, its operation or financial security</w:t>
            </w:r>
          </w:p>
          <w:p w14:paraId="546A2F7B" w14:textId="77777777" w:rsidR="00201C8F" w:rsidRPr="00201C8F" w:rsidRDefault="000565E7" w:rsidP="00C5762C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Establish a culture and capability in continuous improvement to drive </w:t>
            </w:r>
            <w:r w:rsidR="009E4424">
              <w:rPr>
                <w:rFonts w:ascii="Arial" w:eastAsia="Calibri" w:hAnsi="Arial" w:cs="Arial"/>
                <w:sz w:val="20"/>
                <w:szCs w:val="20"/>
              </w:rPr>
              <w:t xml:space="preserve">enhanced sales activity and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efficiency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16" w:type="dxa"/>
          </w:tcPr>
          <w:p w14:paraId="08AC57C8" w14:textId="77777777" w:rsidR="009E22D0" w:rsidRDefault="00644BB2" w:rsidP="00C576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B03BD1" w14:textId="77777777" w:rsidR="00A03B6F" w:rsidRDefault="00A03B6F" w:rsidP="00C576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41F3A88D" w14:textId="77777777" w:rsidR="00A03B6F" w:rsidRPr="00644BB2" w:rsidRDefault="00A03B6F" w:rsidP="00C576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</w:tc>
      </w:tr>
      <w:tr w:rsidR="009E22D0" w:rsidRPr="00B75089" w14:paraId="52BDCA82" w14:textId="77777777" w:rsidTr="00C5762C">
        <w:trPr>
          <w:trHeight w:val="1905"/>
        </w:trPr>
        <w:tc>
          <w:tcPr>
            <w:tcW w:w="6771" w:type="dxa"/>
            <w:vAlign w:val="center"/>
          </w:tcPr>
          <w:p w14:paraId="0633E0A6" w14:textId="77777777" w:rsidR="009E22D0" w:rsidRPr="00B75089" w:rsidRDefault="009E22D0" w:rsidP="007F096C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F3E06BE" w14:textId="1ABF58C2" w:rsidR="009E22D0" w:rsidRDefault="00A03B6F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strong leadership to the Business Development team, </w:t>
            </w:r>
            <w:r w:rsidR="002B0CB6">
              <w:rPr>
                <w:rFonts w:ascii="Arial" w:hAnsi="Arial" w:cs="Arial"/>
                <w:sz w:val="20"/>
                <w:szCs w:val="20"/>
              </w:rPr>
              <w:t>ensuring the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 xml:space="preserve"> training, competence, performance and engagement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all employees who are focussed on delivering for members, have clarity on their accountabilities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>and comply with all governance,</w:t>
            </w:r>
            <w:r w:rsidR="007F096C"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5995509B" w14:textId="39BCC84B" w:rsidR="00201C8F" w:rsidRPr="00201C8F" w:rsidRDefault="00A03B6F" w:rsidP="00C576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a strong pipeline of diverse talent and succession across the Business Development team for the benefit of MPS which will mitigate workforce planning risks, embraces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maximises the performance and potential of employees.</w:t>
            </w:r>
          </w:p>
        </w:tc>
        <w:tc>
          <w:tcPr>
            <w:tcW w:w="3716" w:type="dxa"/>
          </w:tcPr>
          <w:p w14:paraId="5042433E" w14:textId="77777777" w:rsidR="00A03B6F" w:rsidRPr="0073133A" w:rsidRDefault="00A03B6F" w:rsidP="00A03B6F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191A81CF" w14:textId="77777777" w:rsidR="00A03B6F" w:rsidRDefault="00A03B6F" w:rsidP="00637E2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9401A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28F2A556" w14:textId="77777777" w:rsidR="00A03B6F" w:rsidRPr="0079401A" w:rsidRDefault="00A03B6F" w:rsidP="002B54C2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9401A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7FBDA47D" w14:textId="77777777" w:rsidR="00A03B6F" w:rsidRDefault="00A03B6F" w:rsidP="002B54C2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</w:p>
          <w:p w14:paraId="295C3DDB" w14:textId="77777777" w:rsidR="009E22D0" w:rsidRPr="00B75089" w:rsidRDefault="009E22D0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DADFFC9" w14:textId="77777777" w:rsidTr="007F096C">
        <w:trPr>
          <w:trHeight w:val="1265"/>
        </w:trPr>
        <w:tc>
          <w:tcPr>
            <w:tcW w:w="6771" w:type="dxa"/>
          </w:tcPr>
          <w:p w14:paraId="560EAFCC" w14:textId="77777777" w:rsidR="009E22D0" w:rsidRPr="00B75089" w:rsidRDefault="009E22D0" w:rsidP="007F096C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C7B0565" w14:textId="77777777" w:rsidR="007F096C" w:rsidRPr="00644BB2" w:rsidRDefault="00644BB2" w:rsidP="007F096C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  <w:r w:rsidR="00201C8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716" w:type="dxa"/>
            <w:vAlign w:val="center"/>
          </w:tcPr>
          <w:p w14:paraId="668AB6D3" w14:textId="77777777" w:rsidR="002D7ABB" w:rsidRPr="002D7ABB" w:rsidRDefault="009E22D0" w:rsidP="007F09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294B343" w14:textId="77777777" w:rsidR="009E22D0" w:rsidRPr="00B75089" w:rsidRDefault="009E22D0" w:rsidP="007F09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273A91F8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0BFBF0B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CFEA9AB" w14:textId="77777777" w:rsidR="009E22D0" w:rsidRPr="00B75089" w:rsidRDefault="009E22D0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471D40E" w14:textId="77777777" w:rsidTr="00520A72">
        <w:trPr>
          <w:trHeight w:val="3996"/>
        </w:trPr>
        <w:tc>
          <w:tcPr>
            <w:tcW w:w="10490" w:type="dxa"/>
          </w:tcPr>
          <w:p w14:paraId="7710CC21" w14:textId="1727E646" w:rsidR="006E6613" w:rsidRPr="00600836" w:rsidRDefault="006E6613" w:rsidP="006E6613">
            <w:pPr>
              <w:numPr>
                <w:ilvl w:val="0"/>
                <w:numId w:val="28"/>
              </w:numPr>
              <w:shd w:val="clear" w:color="auto" w:fill="FFFFFF"/>
              <w:spacing w:after="0" w:line="0" w:lineRule="atLeast"/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</w:pPr>
            <w:r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Work as the SME for </w:t>
            </w:r>
            <w:r w:rsidR="00F077B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HK</w:t>
            </w:r>
            <w:r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</w:t>
            </w:r>
            <w:r w:rsidR="00CF7BB7"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distribution</w:t>
            </w:r>
            <w:r w:rsidR="00D8717E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and work with a </w:t>
            </w:r>
            <w:r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cross-functional MPS team to ensure launch, roll-out, and delivery </w:t>
            </w:r>
            <w:r w:rsidR="002C340D"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of all</w:t>
            </w:r>
            <w:r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MPS propositions and services ensuring MPS Brand and member experience is appropriate and </w:t>
            </w:r>
            <w:r w:rsidR="002C340D"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relevant in</w:t>
            </w:r>
            <w:r w:rsidRP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</w:t>
            </w:r>
            <w:r w:rsidR="00600836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the market.</w:t>
            </w:r>
          </w:p>
          <w:p w14:paraId="5A740499" w14:textId="77777777" w:rsidR="006E6613" w:rsidRPr="00C5762C" w:rsidRDefault="00637E20" w:rsidP="006E6613">
            <w:pPr>
              <w:numPr>
                <w:ilvl w:val="0"/>
                <w:numId w:val="28"/>
              </w:numPr>
              <w:shd w:val="clear" w:color="auto" w:fill="FFFFFF"/>
              <w:spacing w:after="0" w:line="0" w:lineRule="atLeast"/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</w:pPr>
            <w:r w:rsidRPr="00C5762C">
              <w:rPr>
                <w:rFonts w:ascii="Arial" w:hAnsi="Arial" w:cs="Arial"/>
                <w:sz w:val="20"/>
                <w:szCs w:val="20"/>
              </w:rPr>
              <w:t>Build and maintain high level working relationships with key stakeholders</w:t>
            </w:r>
            <w:r w:rsidR="008175E3">
              <w:rPr>
                <w:rFonts w:ascii="Arial" w:hAnsi="Arial" w:cs="Arial"/>
                <w:sz w:val="20"/>
                <w:szCs w:val="20"/>
              </w:rPr>
              <w:t xml:space="preserve"> (internal and external</w:t>
            </w:r>
            <w:r w:rsidR="002B0CB6">
              <w:rPr>
                <w:rFonts w:ascii="Arial" w:hAnsi="Arial" w:cs="Arial"/>
                <w:sz w:val="20"/>
                <w:szCs w:val="20"/>
              </w:rPr>
              <w:t>)</w:t>
            </w:r>
            <w:r w:rsidR="002B0CB6" w:rsidRPr="00C5762C">
              <w:rPr>
                <w:rFonts w:ascii="Arial" w:hAnsi="Arial" w:cs="Arial"/>
                <w:sz w:val="20"/>
                <w:szCs w:val="20"/>
              </w:rPr>
              <w:t>, ensuring</w:t>
            </w:r>
            <w:r w:rsidR="006E6613"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that member propositions </w:t>
            </w:r>
            <w:proofErr w:type="gramStart"/>
            <w:r w:rsidR="006E6613"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and  product</w:t>
            </w:r>
            <w:proofErr w:type="gramEnd"/>
            <w:r w:rsidR="006E6613"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solutions support MPS business goals and </w:t>
            </w:r>
            <w:r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provides the best</w:t>
            </w:r>
            <w:r w:rsidR="006E6613"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experience for members</w:t>
            </w:r>
            <w:r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>,</w:t>
            </w:r>
            <w:r w:rsidR="006E6613" w:rsidRPr="00C5762C">
              <w:rPr>
                <w:rFonts w:ascii="Arial" w:hAnsi="Arial" w:cs="Arial"/>
                <w:color w:val="232629"/>
                <w:sz w:val="20"/>
                <w:szCs w:val="20"/>
                <w:lang w:val="en"/>
              </w:rPr>
              <w:t xml:space="preserve"> relevant and appropriate to cultural norms</w:t>
            </w:r>
          </w:p>
          <w:p w14:paraId="2FE1501A" w14:textId="77777777" w:rsidR="00520A72" w:rsidRPr="00520A72" w:rsidRDefault="006E6613" w:rsidP="00520A72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20A72">
              <w:rPr>
                <w:rFonts w:ascii="Arial" w:hAnsi="Arial" w:cs="Arial"/>
                <w:sz w:val="20"/>
                <w:szCs w:val="20"/>
                <w:lang w:val="en"/>
              </w:rPr>
              <w:t>Fraud and risk Prevention; use local knowledge to help identify fraud and non-disclosure to protect our commercial viability and wider member base</w:t>
            </w:r>
          </w:p>
          <w:p w14:paraId="71CACC36" w14:textId="77777777" w:rsidR="00C5762C" w:rsidRPr="00520A72" w:rsidRDefault="006E6613" w:rsidP="00520A72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20A72">
              <w:rPr>
                <w:rFonts w:ascii="Arial" w:hAnsi="Arial" w:cs="Arial"/>
                <w:sz w:val="20"/>
                <w:szCs w:val="20"/>
                <w:lang w:val="en"/>
              </w:rPr>
              <w:t>M</w:t>
            </w:r>
            <w:r w:rsidR="00600836" w:rsidRPr="00520A72">
              <w:rPr>
                <w:rFonts w:ascii="Arial" w:hAnsi="Arial" w:cs="Arial"/>
                <w:sz w:val="20"/>
                <w:szCs w:val="20"/>
                <w:lang w:val="en"/>
              </w:rPr>
              <w:t>aintain awareness of competitor /</w:t>
            </w:r>
            <w:r w:rsidRPr="00520A72">
              <w:rPr>
                <w:rFonts w:ascii="Arial" w:hAnsi="Arial" w:cs="Arial"/>
                <w:sz w:val="20"/>
                <w:szCs w:val="20"/>
                <w:lang w:val="en"/>
              </w:rPr>
              <w:t xml:space="preserve"> member trends and new indemnity/related innovations in the marketplace and bring them to the</w:t>
            </w:r>
            <w:r w:rsidRPr="00520A72">
              <w:rPr>
                <w:rFonts w:ascii="Arial" w:hAnsi="Arial" w:cs="Arial"/>
                <w:color w:val="4D4D4D"/>
                <w:sz w:val="20"/>
                <w:szCs w:val="20"/>
                <w:lang w:val="en"/>
              </w:rPr>
              <w:t xml:space="preserve"> </w:t>
            </w:r>
            <w:r w:rsidRPr="00520A72">
              <w:rPr>
                <w:rFonts w:ascii="Arial" w:hAnsi="Arial" w:cs="Arial"/>
                <w:sz w:val="20"/>
                <w:szCs w:val="20"/>
                <w:lang w:val="en"/>
              </w:rPr>
              <w:t xml:space="preserve">attention of MPS central teams </w:t>
            </w:r>
          </w:p>
          <w:p w14:paraId="0C091A7F" w14:textId="77777777" w:rsidR="00520A72" w:rsidRPr="00520A72" w:rsidRDefault="00600836" w:rsidP="00520A72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20A72">
              <w:rPr>
                <w:rFonts w:ascii="Arial" w:hAnsi="Arial" w:cs="Arial"/>
                <w:sz w:val="20"/>
                <w:szCs w:val="20"/>
                <w:lang w:val="en"/>
              </w:rPr>
              <w:t xml:space="preserve">Recruit, manage and support development of </w:t>
            </w:r>
            <w:r w:rsidR="006E6613" w:rsidRPr="00520A72">
              <w:rPr>
                <w:rFonts w:ascii="Arial" w:hAnsi="Arial" w:cs="Arial"/>
                <w:sz w:val="20"/>
                <w:szCs w:val="20"/>
                <w:lang w:val="en"/>
              </w:rPr>
              <w:t xml:space="preserve">staff, including performance monitoring, </w:t>
            </w:r>
            <w:proofErr w:type="gramStart"/>
            <w:r w:rsidR="006E6613" w:rsidRPr="00520A72">
              <w:rPr>
                <w:rFonts w:ascii="Arial" w:hAnsi="Arial" w:cs="Arial"/>
                <w:sz w:val="20"/>
                <w:szCs w:val="20"/>
                <w:lang w:val="en"/>
              </w:rPr>
              <w:t>mentoring</w:t>
            </w:r>
            <w:proofErr w:type="gramEnd"/>
            <w:r w:rsidR="006E6613" w:rsidRPr="00520A72">
              <w:rPr>
                <w:rFonts w:ascii="Arial" w:hAnsi="Arial" w:cs="Arial"/>
                <w:sz w:val="20"/>
                <w:szCs w:val="20"/>
                <w:lang w:val="en"/>
              </w:rPr>
              <w:t xml:space="preserve"> and training.</w:t>
            </w:r>
          </w:p>
          <w:p w14:paraId="544A3CBF" w14:textId="77777777" w:rsidR="006E6613" w:rsidRPr="00520A72" w:rsidRDefault="006E6613" w:rsidP="00520A72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20A72">
              <w:rPr>
                <w:rFonts w:ascii="Arial" w:hAnsi="Arial" w:cs="Arial"/>
                <w:sz w:val="20"/>
                <w:szCs w:val="20"/>
              </w:rPr>
              <w:t xml:space="preserve">Ensure MPS has an appropriate channels-to-market mix (direct and indirect) that enables the </w:t>
            </w:r>
            <w:r w:rsidR="002B0CB6" w:rsidRPr="00520A72">
              <w:rPr>
                <w:rFonts w:ascii="Arial" w:hAnsi="Arial" w:cs="Arial"/>
                <w:sz w:val="20"/>
                <w:szCs w:val="20"/>
              </w:rPr>
              <w:t>cost-effective</w:t>
            </w:r>
            <w:r w:rsidRPr="00520A72">
              <w:rPr>
                <w:rFonts w:ascii="Arial" w:hAnsi="Arial" w:cs="Arial"/>
                <w:sz w:val="20"/>
                <w:szCs w:val="20"/>
              </w:rPr>
              <w:t xml:space="preserve"> generation of targets and performance in line with corporate objectives.</w:t>
            </w:r>
          </w:p>
          <w:p w14:paraId="3F095795" w14:textId="77777777" w:rsidR="009E22D0" w:rsidRPr="007F096C" w:rsidRDefault="00C5762C" w:rsidP="00520A72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20A72">
              <w:rPr>
                <w:rFonts w:ascii="Arial" w:hAnsi="Arial" w:cs="Arial"/>
                <w:sz w:val="20"/>
                <w:szCs w:val="20"/>
              </w:rPr>
              <w:t>Undertake other duties and tasks that from time to time may be allocated to the jobholder that are appropriate to (the level of) the job</w:t>
            </w:r>
          </w:p>
        </w:tc>
      </w:tr>
    </w:tbl>
    <w:p w14:paraId="7DE1109F" w14:textId="77777777" w:rsidR="009E22D0" w:rsidRPr="008A7829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DEE4687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E47A769" w14:textId="77777777" w:rsidR="005542D1" w:rsidRPr="00B75089" w:rsidRDefault="005542D1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53FB01BD" w14:textId="77777777" w:rsidTr="00AA0FE5">
        <w:trPr>
          <w:trHeight w:val="277"/>
        </w:trPr>
        <w:tc>
          <w:tcPr>
            <w:tcW w:w="10490" w:type="dxa"/>
          </w:tcPr>
          <w:p w14:paraId="19148BA7" w14:textId="77777777" w:rsidR="00B560AE" w:rsidRDefault="00B560AE" w:rsidP="00B560AE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development monthly sales meeting </w:t>
            </w:r>
          </w:p>
          <w:p w14:paraId="443E3AA4" w14:textId="77777777" w:rsidR="00600836" w:rsidRDefault="00600836" w:rsidP="0060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5C8F87" w14:textId="77777777" w:rsidR="00600836" w:rsidRPr="00600836" w:rsidRDefault="00600836" w:rsidP="0060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E8560" w14:textId="77777777" w:rsidR="00600836" w:rsidRDefault="00600836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p w14:paraId="13CFAC4A" w14:textId="77777777" w:rsidR="00520A72" w:rsidRPr="008A7829" w:rsidRDefault="00520A72" w:rsidP="00B7508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56188D" w:rsidRPr="00B75089" w14:paraId="0366CAE8" w14:textId="77777777" w:rsidTr="00520A72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14:paraId="21114264" w14:textId="77777777" w:rsidR="0056188D" w:rsidRPr="00B75089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E2CAFF3" w14:textId="77777777" w:rsidR="0056188D" w:rsidRPr="00AA0FE5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5B61CE22" w14:textId="77777777" w:rsidTr="00520A72">
        <w:trPr>
          <w:trHeight w:val="276"/>
        </w:trPr>
        <w:tc>
          <w:tcPr>
            <w:tcW w:w="6038" w:type="dxa"/>
          </w:tcPr>
          <w:p w14:paraId="1982E0A7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14:paraId="4CF12D40" w14:textId="77777777" w:rsidR="0056188D" w:rsidRPr="00AA0FE5" w:rsidRDefault="00B560AE" w:rsidP="00637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37E2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thers </w:t>
            </w:r>
          </w:p>
        </w:tc>
      </w:tr>
      <w:tr w:rsidR="004D18E8" w:rsidRPr="00B75089" w14:paraId="5C0610FF" w14:textId="77777777" w:rsidTr="00520A72">
        <w:trPr>
          <w:trHeight w:val="276"/>
        </w:trPr>
        <w:tc>
          <w:tcPr>
            <w:tcW w:w="6038" w:type="dxa"/>
          </w:tcPr>
          <w:p w14:paraId="522DDF0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14:paraId="44D28A07" w14:textId="2631FD93" w:rsidR="004D18E8" w:rsidRPr="00AA0FE5" w:rsidRDefault="00637E20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A11CF"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  <w:tr w:rsidR="004D18E8" w:rsidRPr="00B75089" w14:paraId="54E5FCD5" w14:textId="77777777" w:rsidTr="00520A72">
        <w:trPr>
          <w:trHeight w:val="276"/>
        </w:trPr>
        <w:tc>
          <w:tcPr>
            <w:tcW w:w="6038" w:type="dxa"/>
          </w:tcPr>
          <w:p w14:paraId="6FC6FA6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504" w:type="dxa"/>
          </w:tcPr>
          <w:p w14:paraId="3F810D3F" w14:textId="77777777" w:rsidR="004D18E8" w:rsidRPr="00AA0FE5" w:rsidRDefault="008175E3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4C75CB94" w14:textId="77777777" w:rsidTr="00520A72">
        <w:trPr>
          <w:trHeight w:val="276"/>
        </w:trPr>
        <w:tc>
          <w:tcPr>
            <w:tcW w:w="6038" w:type="dxa"/>
          </w:tcPr>
          <w:p w14:paraId="1621542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14:paraId="17A5BDFA" w14:textId="66D9AD18" w:rsidR="004D18E8" w:rsidRPr="00AA0FE5" w:rsidRDefault="00637E20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A11CF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57D7733" w14:textId="77777777" w:rsidTr="00520A72">
        <w:trPr>
          <w:trHeight w:val="276"/>
        </w:trPr>
        <w:tc>
          <w:tcPr>
            <w:tcW w:w="6038" w:type="dxa"/>
          </w:tcPr>
          <w:p w14:paraId="5E0FC99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14:paraId="1EB5F4CF" w14:textId="47D25081" w:rsidR="004D18E8" w:rsidRPr="00AA0FE5" w:rsidRDefault="00637E20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A11CF"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  <w:tr w:rsidR="004D18E8" w:rsidRPr="00B75089" w14:paraId="30251AD6" w14:textId="77777777" w:rsidTr="00520A72">
        <w:trPr>
          <w:trHeight w:val="276"/>
        </w:trPr>
        <w:tc>
          <w:tcPr>
            <w:tcW w:w="6038" w:type="dxa"/>
          </w:tcPr>
          <w:p w14:paraId="7952BCB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14:paraId="761F76FF" w14:textId="77777777" w:rsidR="004D18E8" w:rsidRPr="00AA0FE5" w:rsidRDefault="00637E20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175E3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488"/>
        <w:tblW w:w="10031" w:type="dxa"/>
        <w:tblLook w:val="04A0" w:firstRow="1" w:lastRow="0" w:firstColumn="1" w:lastColumn="0" w:noHBand="0" w:noVBand="1"/>
      </w:tblPr>
      <w:tblGrid>
        <w:gridCol w:w="460"/>
        <w:gridCol w:w="2342"/>
        <w:gridCol w:w="3827"/>
        <w:gridCol w:w="3402"/>
      </w:tblGrid>
      <w:tr w:rsidR="00520A72" w:rsidRPr="00B75089" w14:paraId="12B5E3EF" w14:textId="77777777" w:rsidTr="00520A72">
        <w:trPr>
          <w:trHeight w:val="418"/>
        </w:trPr>
        <w:tc>
          <w:tcPr>
            <w:tcW w:w="4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834382" w14:textId="77777777" w:rsidR="00520A72" w:rsidRPr="00B75089" w:rsidRDefault="00520A72" w:rsidP="00520A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38C19BCF" w14:textId="77777777" w:rsidR="00520A72" w:rsidRPr="00B75089" w:rsidRDefault="00520A72" w:rsidP="00520A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68315E9" w14:textId="77777777" w:rsidR="00520A72" w:rsidRPr="00B75089" w:rsidRDefault="00520A72" w:rsidP="00520A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DEC70F3" w14:textId="77777777" w:rsidR="00520A72" w:rsidRPr="00B75089" w:rsidRDefault="00520A72" w:rsidP="00520A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20A72" w:rsidRPr="00B75089" w14:paraId="0A91D173" w14:textId="77777777" w:rsidTr="00520A72">
        <w:trPr>
          <w:cantSplit/>
          <w:trHeight w:val="348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6F61081" w14:textId="77777777" w:rsidR="00520A72" w:rsidRPr="00B75089" w:rsidRDefault="00520A72" w:rsidP="00520A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342" w:type="dxa"/>
          </w:tcPr>
          <w:p w14:paraId="08E4060D" w14:textId="77777777" w:rsidR="00520A72" w:rsidRPr="008D56BB" w:rsidRDefault="00520A72" w:rsidP="00520A72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C8C464" w14:textId="0B331998" w:rsidR="00520A72" w:rsidRPr="008D56BB" w:rsidRDefault="00520A72" w:rsidP="00520A72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•</w:t>
            </w:r>
            <w:r>
              <w:t xml:space="preserve"> </w:t>
            </w: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Educated to a degree standard or </w:t>
            </w:r>
            <w:r w:rsidR="00F077B6">
              <w:rPr>
                <w:rFonts w:ascii="Arial" w:eastAsia="Calibri" w:hAnsi="Arial" w:cs="Arial"/>
                <w:sz w:val="20"/>
                <w:szCs w:val="20"/>
              </w:rPr>
              <w:t xml:space="preserve">relevant experience </w:t>
            </w:r>
          </w:p>
          <w:p w14:paraId="6722F57C" w14:textId="77777777" w:rsidR="00520A72" w:rsidRDefault="00520A72" w:rsidP="00520A72">
            <w:pPr>
              <w:pStyle w:val="ListParagraph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8D56BB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</w:p>
          <w:p w14:paraId="433088FD" w14:textId="77777777" w:rsidR="00520A72" w:rsidRDefault="00520A72" w:rsidP="00520A72">
            <w:pPr>
              <w:pStyle w:val="ListParagraph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041DD0" w14:textId="77777777" w:rsidR="00520A72" w:rsidRPr="00534CF3" w:rsidRDefault="00520A72" w:rsidP="00520A72">
            <w:pPr>
              <w:pStyle w:val="ListParagraph"/>
              <w:spacing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F88E7B" w14:textId="77777777" w:rsidR="00520A72" w:rsidRP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0A72">
              <w:rPr>
                <w:rFonts w:ascii="Arial" w:eastAsia="Calibri" w:hAnsi="Arial" w:cs="Arial"/>
                <w:sz w:val="20"/>
                <w:szCs w:val="20"/>
              </w:rPr>
              <w:t>Strong negotiating and influencing skills with senior stakeholders</w:t>
            </w:r>
          </w:p>
          <w:p w14:paraId="2A7EB6F6" w14:textId="77777777" w:rsidR="00520A72" w:rsidRP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0A72">
              <w:rPr>
                <w:rFonts w:ascii="Arial" w:eastAsia="Calibri" w:hAnsi="Arial" w:cs="Arial"/>
                <w:sz w:val="20"/>
                <w:szCs w:val="20"/>
              </w:rPr>
              <w:t xml:space="preserve">Ability to solve problems using in-depth local knowledge and expertise </w:t>
            </w:r>
            <w:proofErr w:type="gramStart"/>
            <w:r w:rsidRPr="00520A72">
              <w:rPr>
                <w:rFonts w:ascii="Arial" w:eastAsia="Calibri" w:hAnsi="Arial" w:cs="Arial"/>
                <w:sz w:val="20"/>
                <w:szCs w:val="20"/>
              </w:rPr>
              <w:t>on  member</w:t>
            </w:r>
            <w:proofErr w:type="gramEnd"/>
            <w:r w:rsidRPr="00520A72">
              <w:rPr>
                <w:rFonts w:ascii="Arial" w:eastAsia="Calibri" w:hAnsi="Arial" w:cs="Arial"/>
                <w:sz w:val="20"/>
                <w:szCs w:val="20"/>
              </w:rPr>
              <w:t xml:space="preserve"> insights, sales results and member adoption</w:t>
            </w:r>
            <w:r w:rsidRPr="00520A72" w:rsidDel="002B54C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A3DD0A2" w14:textId="77777777" w:rsidR="00520A72" w:rsidRP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0A72">
              <w:rPr>
                <w:rFonts w:ascii="Arial" w:eastAsia="Calibri" w:hAnsi="Arial" w:cs="Arial"/>
                <w:sz w:val="20"/>
                <w:szCs w:val="20"/>
              </w:rPr>
              <w:t xml:space="preserve">Exceptional interpersonal skills and ability to develop strong internal and external working relationships </w:t>
            </w:r>
          </w:p>
          <w:p w14:paraId="1079CBD1" w14:textId="77777777" w:rsid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60AE">
              <w:rPr>
                <w:rFonts w:ascii="Arial" w:eastAsia="Calibri" w:hAnsi="Arial" w:cs="Arial"/>
                <w:sz w:val="20"/>
                <w:szCs w:val="20"/>
              </w:rPr>
              <w:t>Ability to meet multiple objectives in an entrepreneurial environment with little in person supervision</w:t>
            </w:r>
            <w:r w:rsidRPr="00B560A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14:paraId="2B8CD929" w14:textId="77777777" w:rsidR="00520A72" w:rsidRPr="00B75089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lead, manage and motivate teams</w:t>
            </w:r>
          </w:p>
        </w:tc>
        <w:tc>
          <w:tcPr>
            <w:tcW w:w="3402" w:type="dxa"/>
          </w:tcPr>
          <w:p w14:paraId="5573B144" w14:textId="77777777" w:rsidR="00520A72" w:rsidRPr="008D56BB" w:rsidRDefault="00520A72" w:rsidP="00520A7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Business development</w:t>
            </w: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 experience within organisations of £50m+ revenue</w:t>
            </w:r>
          </w:p>
          <w:p w14:paraId="52646075" w14:textId="21CC3139" w:rsid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56BB">
              <w:rPr>
                <w:rFonts w:ascii="Arial" w:eastAsia="Calibri" w:hAnsi="Arial" w:cs="Arial"/>
                <w:sz w:val="20"/>
                <w:szCs w:val="20"/>
              </w:rPr>
              <w:t>Experience of B2C</w:t>
            </w:r>
            <w:r w:rsidR="008175E3">
              <w:rPr>
                <w:rFonts w:ascii="Arial" w:eastAsia="Calibri" w:hAnsi="Arial" w:cs="Arial"/>
                <w:sz w:val="20"/>
                <w:szCs w:val="20"/>
              </w:rPr>
              <w:t>/M</w:t>
            </w: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 markets within </w:t>
            </w:r>
            <w:r w:rsidR="00F077B6">
              <w:rPr>
                <w:rFonts w:ascii="Arial" w:eastAsia="Calibri" w:hAnsi="Arial" w:cs="Arial"/>
                <w:sz w:val="20"/>
                <w:szCs w:val="20"/>
              </w:rPr>
              <w:t>HK</w:t>
            </w: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 financial services markets </w:t>
            </w:r>
          </w:p>
          <w:p w14:paraId="6FD551C7" w14:textId="77777777" w:rsidR="00520A72" w:rsidRDefault="00520A72" w:rsidP="00520A7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E11AF">
              <w:rPr>
                <w:rFonts w:ascii="Arial" w:eastAsia="Calibri" w:hAnsi="Arial" w:cs="Arial"/>
                <w:sz w:val="20"/>
                <w:szCs w:val="20"/>
              </w:rPr>
              <w:t>Proven ability to successfully manage multiple prioritie</w:t>
            </w:r>
            <w:r>
              <w:rPr>
                <w:rFonts w:ascii="Arial" w:eastAsia="Calibri" w:hAnsi="Arial" w:cs="Arial"/>
                <w:sz w:val="20"/>
                <w:szCs w:val="20"/>
              </w:rPr>
              <w:t>s and focus areas</w:t>
            </w:r>
          </w:p>
          <w:p w14:paraId="65AF20FF" w14:textId="77777777" w:rsidR="00520A72" w:rsidRPr="002E11AF" w:rsidRDefault="00520A72" w:rsidP="00520A72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0A72" w:rsidRPr="00B75089" w14:paraId="1CE11017" w14:textId="77777777" w:rsidTr="00520A72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71CD117" w14:textId="77777777" w:rsidR="00520A72" w:rsidRPr="00B75089" w:rsidRDefault="00520A72" w:rsidP="00520A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342" w:type="dxa"/>
          </w:tcPr>
          <w:p w14:paraId="478E2E8E" w14:textId="71EC16D4" w:rsidR="00520A72" w:rsidRPr="00534CF3" w:rsidRDefault="00520A72" w:rsidP="00520A72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F077B6">
              <w:rPr>
                <w:rFonts w:ascii="Arial" w:eastAsia="Calibri" w:hAnsi="Arial" w:cs="Arial"/>
                <w:sz w:val="20"/>
                <w:szCs w:val="20"/>
              </w:rPr>
              <w:t>HK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0259">
              <w:rPr>
                <w:rFonts w:ascii="Arial" w:eastAsia="Calibri" w:hAnsi="Arial" w:cs="Arial"/>
                <w:sz w:val="20"/>
                <w:szCs w:val="20"/>
              </w:rPr>
              <w:t xml:space="preserve">healthcare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markets </w:t>
            </w:r>
          </w:p>
        </w:tc>
        <w:tc>
          <w:tcPr>
            <w:tcW w:w="3827" w:type="dxa"/>
          </w:tcPr>
          <w:p w14:paraId="349CD734" w14:textId="77777777" w:rsidR="00520A72" w:rsidRPr="000156AE" w:rsidRDefault="00520A72" w:rsidP="00520A72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F8A2A7" w14:textId="77777777" w:rsidR="00520A72" w:rsidRPr="008D56BB" w:rsidRDefault="00520A72" w:rsidP="00520A7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Experience working in a </w:t>
            </w:r>
            <w:r w:rsidR="008175E3">
              <w:rPr>
                <w:rFonts w:ascii="Arial" w:eastAsia="Calibri" w:hAnsi="Arial" w:cs="Arial"/>
                <w:sz w:val="20"/>
                <w:szCs w:val="20"/>
              </w:rPr>
              <w:t>financial services</w:t>
            </w:r>
            <w:r w:rsidR="002B0C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56BB">
              <w:rPr>
                <w:rFonts w:ascii="Arial" w:eastAsia="Calibri" w:hAnsi="Arial" w:cs="Arial"/>
                <w:sz w:val="20"/>
                <w:szCs w:val="20"/>
              </w:rPr>
              <w:t>organisation</w:t>
            </w:r>
            <w:r>
              <w:t xml:space="preserve"> </w:t>
            </w:r>
          </w:p>
          <w:p w14:paraId="0084ECCA" w14:textId="77777777" w:rsidR="00520A72" w:rsidRPr="00712403" w:rsidRDefault="00520A72" w:rsidP="00520A7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D56BB">
              <w:rPr>
                <w:rFonts w:ascii="Arial" w:eastAsia="Calibri" w:hAnsi="Arial" w:cs="Arial"/>
                <w:sz w:val="20"/>
                <w:szCs w:val="20"/>
              </w:rPr>
              <w:t xml:space="preserve">Experience of how (General) insurance companies operate including the type of business performance measures that insurance companies would seek to monitor </w:t>
            </w:r>
            <w:r>
              <w:t xml:space="preserve"> </w:t>
            </w:r>
          </w:p>
          <w:p w14:paraId="067CA846" w14:textId="77777777" w:rsidR="00520A72" w:rsidRDefault="00520A72" w:rsidP="00520A7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12403">
              <w:rPr>
                <w:rFonts w:ascii="Arial" w:eastAsia="Calibri" w:hAnsi="Arial" w:cs="Arial"/>
                <w:sz w:val="20"/>
                <w:szCs w:val="20"/>
              </w:rPr>
              <w:t xml:space="preserve">Experience in managing a field sales team with responsibilities across </w:t>
            </w:r>
            <w:proofErr w:type="gramStart"/>
            <w:r w:rsidRPr="00712403">
              <w:rPr>
                <w:rFonts w:ascii="Arial" w:eastAsia="Calibri" w:hAnsi="Arial" w:cs="Arial"/>
                <w:sz w:val="20"/>
                <w:szCs w:val="20"/>
              </w:rPr>
              <w:t>a number of</w:t>
            </w:r>
            <w:proofErr w:type="gramEnd"/>
            <w:r w:rsidRPr="00712403">
              <w:rPr>
                <w:rFonts w:ascii="Arial" w:eastAsia="Calibri" w:hAnsi="Arial" w:cs="Arial"/>
                <w:sz w:val="20"/>
                <w:szCs w:val="20"/>
              </w:rPr>
              <w:t xml:space="preserve"> segments</w:t>
            </w:r>
          </w:p>
          <w:p w14:paraId="77504352" w14:textId="77777777" w:rsidR="00520A72" w:rsidRPr="008D56BB" w:rsidRDefault="00520A72" w:rsidP="00520A72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a financial services/insurance regulated environment</w:t>
            </w:r>
          </w:p>
          <w:p w14:paraId="5D338779" w14:textId="77777777" w:rsidR="00520A72" w:rsidRPr="00EB322B" w:rsidRDefault="00520A72" w:rsidP="00520A72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3301C0" w14:textId="77777777" w:rsidR="00600836" w:rsidRDefault="00600836"/>
    <w:p w14:paraId="1CD6C97E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520A72">
      <w:headerReference w:type="default" r:id="rId9"/>
      <w:footerReference w:type="default" r:id="rId10"/>
      <w:pgSz w:w="11909" w:h="16834" w:code="9"/>
      <w:pgMar w:top="1440" w:right="1080" w:bottom="1440" w:left="108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3C89" w14:textId="77777777" w:rsidR="00942E91" w:rsidRDefault="00942E91" w:rsidP="009E22D0">
      <w:pPr>
        <w:spacing w:after="0" w:line="240" w:lineRule="auto"/>
      </w:pPr>
      <w:r>
        <w:separator/>
      </w:r>
    </w:p>
  </w:endnote>
  <w:endnote w:type="continuationSeparator" w:id="0">
    <w:p w14:paraId="09123877" w14:textId="77777777" w:rsidR="00942E91" w:rsidRDefault="00942E9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9126B78" w14:textId="77777777" w:rsidR="00787C2D" w:rsidRPr="00787C2D" w:rsidRDefault="00787C2D" w:rsidP="00787C2D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fldChar w:fldCharType="begin"/>
        </w:r>
        <w:r w:rsidRPr="00787C2D">
          <w:rPr>
            <w:sz w:val="16"/>
            <w:szCs w:val="16"/>
          </w:rPr>
          <w:instrText xml:space="preserve"> PAGE   \* MERGEFORMAT </w:instrText>
        </w:r>
        <w:r w:rsidRPr="00787C2D">
          <w:rPr>
            <w:sz w:val="16"/>
            <w:szCs w:val="16"/>
          </w:rPr>
          <w:fldChar w:fldCharType="separate"/>
        </w:r>
        <w:r w:rsidR="0074479F">
          <w:rPr>
            <w:noProof/>
            <w:sz w:val="16"/>
            <w:szCs w:val="16"/>
          </w:rPr>
          <w:t>1</w:t>
        </w:r>
        <w:r w:rsidRPr="00787C2D">
          <w:rPr>
            <w:noProof/>
            <w:sz w:val="16"/>
            <w:szCs w:val="16"/>
          </w:rPr>
          <w:fldChar w:fldCharType="end"/>
        </w:r>
      </w:p>
    </w:sdtContent>
  </w:sdt>
  <w:p w14:paraId="52B1C1D8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E0F3" w14:textId="77777777" w:rsidR="00942E91" w:rsidRDefault="00942E91" w:rsidP="009E22D0">
      <w:pPr>
        <w:spacing w:after="0" w:line="240" w:lineRule="auto"/>
      </w:pPr>
      <w:r>
        <w:separator/>
      </w:r>
    </w:p>
  </w:footnote>
  <w:footnote w:type="continuationSeparator" w:id="0">
    <w:p w14:paraId="2AC626E6" w14:textId="77777777" w:rsidR="00942E91" w:rsidRDefault="00942E9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E61B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5F0261D8" wp14:editId="79707DC6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0E92"/>
    <w:multiLevelType w:val="hybridMultilevel"/>
    <w:tmpl w:val="0CC0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452C7"/>
    <w:multiLevelType w:val="hybridMultilevel"/>
    <w:tmpl w:val="318C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73D82"/>
    <w:multiLevelType w:val="hybridMultilevel"/>
    <w:tmpl w:val="B12C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56A4B"/>
    <w:multiLevelType w:val="hybridMultilevel"/>
    <w:tmpl w:val="0212A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9E499F"/>
    <w:multiLevelType w:val="hybridMultilevel"/>
    <w:tmpl w:val="1026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FC0"/>
    <w:multiLevelType w:val="hybridMultilevel"/>
    <w:tmpl w:val="38E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3F2E"/>
    <w:multiLevelType w:val="hybridMultilevel"/>
    <w:tmpl w:val="3714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28312D"/>
    <w:multiLevelType w:val="hybridMultilevel"/>
    <w:tmpl w:val="97B0B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20"/>
  </w:num>
  <w:num w:numId="8">
    <w:abstractNumId w:val="29"/>
  </w:num>
  <w:num w:numId="9">
    <w:abstractNumId w:val="30"/>
  </w:num>
  <w:num w:numId="10">
    <w:abstractNumId w:val="24"/>
  </w:num>
  <w:num w:numId="11">
    <w:abstractNumId w:val="6"/>
  </w:num>
  <w:num w:numId="12">
    <w:abstractNumId w:val="26"/>
  </w:num>
  <w:num w:numId="13">
    <w:abstractNumId w:val="22"/>
  </w:num>
  <w:num w:numId="14">
    <w:abstractNumId w:val="23"/>
  </w:num>
  <w:num w:numId="15">
    <w:abstractNumId w:val="19"/>
  </w:num>
  <w:num w:numId="16">
    <w:abstractNumId w:val="13"/>
  </w:num>
  <w:num w:numId="17">
    <w:abstractNumId w:val="27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31"/>
  </w:num>
  <w:num w:numId="23">
    <w:abstractNumId w:val="28"/>
  </w:num>
  <w:num w:numId="24">
    <w:abstractNumId w:val="18"/>
  </w:num>
  <w:num w:numId="25">
    <w:abstractNumId w:val="3"/>
  </w:num>
  <w:num w:numId="26">
    <w:abstractNumId w:val="16"/>
  </w:num>
  <w:num w:numId="27">
    <w:abstractNumId w:val="11"/>
  </w:num>
  <w:num w:numId="28">
    <w:abstractNumId w:val="0"/>
  </w:num>
  <w:num w:numId="29">
    <w:abstractNumId w:val="5"/>
  </w:num>
  <w:num w:numId="30">
    <w:abstractNumId w:val="25"/>
  </w:num>
  <w:num w:numId="31">
    <w:abstractNumId w:val="8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55FC"/>
    <w:rsid w:val="000156AE"/>
    <w:rsid w:val="000210EA"/>
    <w:rsid w:val="00032AAE"/>
    <w:rsid w:val="00052D4B"/>
    <w:rsid w:val="000565E7"/>
    <w:rsid w:val="00082F60"/>
    <w:rsid w:val="000A3A9A"/>
    <w:rsid w:val="000E4361"/>
    <w:rsid w:val="00125B1A"/>
    <w:rsid w:val="001310BA"/>
    <w:rsid w:val="00135CF3"/>
    <w:rsid w:val="001649C1"/>
    <w:rsid w:val="0018283E"/>
    <w:rsid w:val="001A1B41"/>
    <w:rsid w:val="001F16DF"/>
    <w:rsid w:val="001F6F9B"/>
    <w:rsid w:val="00201C8F"/>
    <w:rsid w:val="002412D8"/>
    <w:rsid w:val="002640B5"/>
    <w:rsid w:val="002B0CB6"/>
    <w:rsid w:val="002B54C2"/>
    <w:rsid w:val="002B557F"/>
    <w:rsid w:val="002C340D"/>
    <w:rsid w:val="002D7ABB"/>
    <w:rsid w:val="002E11AF"/>
    <w:rsid w:val="00306334"/>
    <w:rsid w:val="00380F69"/>
    <w:rsid w:val="003A5A7A"/>
    <w:rsid w:val="003E294E"/>
    <w:rsid w:val="00405D6E"/>
    <w:rsid w:val="004515EE"/>
    <w:rsid w:val="004A470C"/>
    <w:rsid w:val="004B290F"/>
    <w:rsid w:val="004D18E8"/>
    <w:rsid w:val="004E4560"/>
    <w:rsid w:val="00520A72"/>
    <w:rsid w:val="00534CF3"/>
    <w:rsid w:val="005542D1"/>
    <w:rsid w:val="00556D58"/>
    <w:rsid w:val="0056188D"/>
    <w:rsid w:val="00583281"/>
    <w:rsid w:val="005D7902"/>
    <w:rsid w:val="005F6ACA"/>
    <w:rsid w:val="00600836"/>
    <w:rsid w:val="006219B1"/>
    <w:rsid w:val="00637E20"/>
    <w:rsid w:val="00644BB2"/>
    <w:rsid w:val="00666EB3"/>
    <w:rsid w:val="006E6613"/>
    <w:rsid w:val="00711E46"/>
    <w:rsid w:val="00712403"/>
    <w:rsid w:val="00717094"/>
    <w:rsid w:val="0074479F"/>
    <w:rsid w:val="00787C2D"/>
    <w:rsid w:val="007C3365"/>
    <w:rsid w:val="007E7CA1"/>
    <w:rsid w:val="007F096C"/>
    <w:rsid w:val="007F589E"/>
    <w:rsid w:val="0081207E"/>
    <w:rsid w:val="00813AEB"/>
    <w:rsid w:val="008175E3"/>
    <w:rsid w:val="00845312"/>
    <w:rsid w:val="00881507"/>
    <w:rsid w:val="008A7027"/>
    <w:rsid w:val="008A7829"/>
    <w:rsid w:val="008C21F7"/>
    <w:rsid w:val="008D56BB"/>
    <w:rsid w:val="008E5EAC"/>
    <w:rsid w:val="008F0259"/>
    <w:rsid w:val="00940AD7"/>
    <w:rsid w:val="00942E91"/>
    <w:rsid w:val="00982E12"/>
    <w:rsid w:val="009858CD"/>
    <w:rsid w:val="009871FA"/>
    <w:rsid w:val="009D5082"/>
    <w:rsid w:val="009E22D0"/>
    <w:rsid w:val="009E4424"/>
    <w:rsid w:val="00A03B6F"/>
    <w:rsid w:val="00A34F44"/>
    <w:rsid w:val="00A4414A"/>
    <w:rsid w:val="00AA0FE5"/>
    <w:rsid w:val="00AA11CF"/>
    <w:rsid w:val="00AD34A1"/>
    <w:rsid w:val="00B23D53"/>
    <w:rsid w:val="00B41A09"/>
    <w:rsid w:val="00B560AE"/>
    <w:rsid w:val="00B75089"/>
    <w:rsid w:val="00B978A6"/>
    <w:rsid w:val="00BA7B94"/>
    <w:rsid w:val="00BC15D2"/>
    <w:rsid w:val="00BD79CA"/>
    <w:rsid w:val="00C32411"/>
    <w:rsid w:val="00C5762C"/>
    <w:rsid w:val="00C874F8"/>
    <w:rsid w:val="00C91CFA"/>
    <w:rsid w:val="00CE6736"/>
    <w:rsid w:val="00CF7BB7"/>
    <w:rsid w:val="00D35952"/>
    <w:rsid w:val="00D741D1"/>
    <w:rsid w:val="00D84FA2"/>
    <w:rsid w:val="00D8717E"/>
    <w:rsid w:val="00D93934"/>
    <w:rsid w:val="00DB6D5C"/>
    <w:rsid w:val="00DC593B"/>
    <w:rsid w:val="00DE7F43"/>
    <w:rsid w:val="00E40AC5"/>
    <w:rsid w:val="00E84B60"/>
    <w:rsid w:val="00EB322B"/>
    <w:rsid w:val="00F00AEA"/>
    <w:rsid w:val="00F077B6"/>
    <w:rsid w:val="00F5319A"/>
    <w:rsid w:val="00F6460C"/>
    <w:rsid w:val="00FB4711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C1B89E"/>
  <w15:docId w15:val="{D7FB29D8-F565-40D9-9796-3B90708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F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FC"/>
    <w:rPr>
      <w:rFonts w:ascii="Calibri" w:hAnsi="Calibri"/>
      <w:b/>
      <w:bCs/>
    </w:rPr>
  </w:style>
  <w:style w:type="paragraph" w:styleId="NoSpacing">
    <w:name w:val="No Spacing"/>
    <w:uiPriority w:val="1"/>
    <w:qFormat/>
    <w:rsid w:val="00520A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8C3D642B-C11D-45FB-B700-D131CC889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2ECFA-93CA-43E5-ABB5-525D8754DA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1058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Kate Lyon</cp:lastModifiedBy>
  <cp:revision>2</cp:revision>
  <dcterms:created xsi:type="dcterms:W3CDTF">2021-07-07T09:20:00Z</dcterms:created>
  <dcterms:modified xsi:type="dcterms:W3CDTF">2021-07-07T09:20:00Z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c336d3a0-3ed7-4d67-a4bf-88ba3ec559f9</vt:lpwstr>
  </property>
  <property fmtid="{D5CDD505-2E9C-101B-9397-08002B2CF9AE}" pid="3" name="bjSaver">
    <vt:lpwstr>I8Jw5yN+d/v6Sgl4+053dZWAilaIhBQ6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