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5" w:type="dxa"/>
        <w:tblInd w:w="-998" w:type="dxa"/>
        <w:tblLook w:val="04A0" w:firstRow="1" w:lastRow="0" w:firstColumn="1" w:lastColumn="0" w:noHBand="0" w:noVBand="1"/>
      </w:tblPr>
      <w:tblGrid>
        <w:gridCol w:w="2382"/>
        <w:gridCol w:w="3119"/>
        <w:gridCol w:w="1984"/>
        <w:gridCol w:w="3260"/>
      </w:tblGrid>
      <w:tr w:rsidR="00335E12" w:rsidRPr="0048291D" w14:paraId="290EE10F" w14:textId="77777777" w:rsidTr="00C11195">
        <w:trPr>
          <w:trHeight w:val="265"/>
        </w:trPr>
        <w:tc>
          <w:tcPr>
            <w:tcW w:w="2382" w:type="dxa"/>
            <w:shd w:val="clear" w:color="auto" w:fill="D9D9D9" w:themeFill="background1" w:themeFillShade="D9"/>
          </w:tcPr>
          <w:p w14:paraId="74A74327" w14:textId="77777777" w:rsidR="00335E12" w:rsidRPr="005B4DAF" w:rsidRDefault="00335E12" w:rsidP="00335E12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AF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FC837C3" w14:textId="7ABE79F8" w:rsidR="00335E12" w:rsidRPr="005B4DAF" w:rsidRDefault="001E2352" w:rsidP="00335E1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SharePoint Developer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1012C6" w14:textId="77777777" w:rsidR="00335E12" w:rsidRPr="005B4DAF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AF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6AD1517" w14:textId="71F65F3E" w:rsidR="00335E12" w:rsidRPr="005B4DAF" w:rsidRDefault="001E2352" w:rsidP="00335E1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Manager</w:t>
            </w:r>
          </w:p>
        </w:tc>
      </w:tr>
      <w:tr w:rsidR="00335E12" w:rsidRPr="0048291D" w14:paraId="6FA3ED73" w14:textId="77777777" w:rsidTr="00C11195">
        <w:trPr>
          <w:trHeight w:val="278"/>
        </w:trPr>
        <w:tc>
          <w:tcPr>
            <w:tcW w:w="2382" w:type="dxa"/>
            <w:shd w:val="clear" w:color="auto" w:fill="D9D9D9" w:themeFill="background1" w:themeFillShade="D9"/>
          </w:tcPr>
          <w:p w14:paraId="3ADCBDCA" w14:textId="77777777" w:rsidR="00335E12" w:rsidRPr="005B4DAF" w:rsidRDefault="00335E12" w:rsidP="00335E12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AF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4169B0D8" w14:textId="77777777" w:rsidR="00335E12" w:rsidRPr="005B4DAF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DAF">
              <w:rPr>
                <w:rFonts w:ascii="Arial" w:hAnsi="Arial" w:cs="Arial"/>
                <w:sz w:val="20"/>
                <w:szCs w:val="20"/>
              </w:rPr>
              <w:t>Digital and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B22CBB" w14:textId="77777777" w:rsidR="00335E12" w:rsidRPr="005B4DAF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3537D3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260" w:type="dxa"/>
          </w:tcPr>
          <w:p w14:paraId="646AC8BD" w14:textId="77777777" w:rsidR="00335E12" w:rsidRPr="005B4DAF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93537D3">
              <w:rPr>
                <w:rFonts w:ascii="Arial" w:hAnsi="Arial" w:cs="Arial"/>
                <w:sz w:val="20"/>
                <w:szCs w:val="20"/>
              </w:rPr>
              <w:t>Applications Delivery</w:t>
            </w:r>
          </w:p>
        </w:tc>
      </w:tr>
      <w:tr w:rsidR="00335E12" w:rsidRPr="0048291D" w14:paraId="282F2D84" w14:textId="77777777" w:rsidTr="00C11195">
        <w:trPr>
          <w:trHeight w:val="265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7ED9391A" w14:textId="77777777" w:rsidR="00335E12" w:rsidRPr="005B4DAF" w:rsidRDefault="00335E12" w:rsidP="00335E12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AF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722B9590" w14:textId="062BA095" w:rsidR="00335E12" w:rsidRPr="00335E12" w:rsidRDefault="00AD141F" w:rsidP="00335E1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6B9">
              <w:rPr>
                <w:rFonts w:ascii="Arial" w:hAnsi="Arial" w:cs="Arial"/>
                <w:sz w:val="20"/>
                <w:szCs w:val="20"/>
              </w:rPr>
              <w:t>No direct reports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15BAEA" w14:textId="77777777" w:rsidR="00335E12" w:rsidRPr="005B4DAF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AF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5B05164" w14:textId="50317FAD" w:rsidR="00335E12" w:rsidRPr="005B4DAF" w:rsidRDefault="00FF61A4" w:rsidP="00335E12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Delivery - Global</w:t>
            </w:r>
          </w:p>
        </w:tc>
      </w:tr>
      <w:tr w:rsidR="00335E12" w:rsidRPr="0048291D" w14:paraId="35ED9AE2" w14:textId="77777777" w:rsidTr="00C11195">
        <w:trPr>
          <w:trHeight w:val="350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4F1DFAB" w14:textId="77777777" w:rsidR="00335E12" w:rsidRPr="0048291D" w:rsidRDefault="00335E12" w:rsidP="00335E12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E1E7E3C" w14:textId="77777777" w:rsidR="00335E12" w:rsidRPr="0048291D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2DD98D7" w14:textId="77777777" w:rsidR="00335E12" w:rsidRPr="0048291D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AF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46683F46" w14:textId="77777777" w:rsidR="00C63C17" w:rsidRPr="00C63C17" w:rsidRDefault="00C63C17" w:rsidP="00C63C17">
            <w:pPr>
              <w:pStyle w:val="Header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63C17">
              <w:rPr>
                <w:rFonts w:ascii="Arial" w:eastAsia="Arial" w:hAnsi="Arial" w:cs="Arial"/>
                <w:sz w:val="20"/>
                <w:szCs w:val="20"/>
              </w:rPr>
              <w:t>0 People</w:t>
            </w:r>
          </w:p>
          <w:p w14:paraId="28504C8E" w14:textId="77777777" w:rsidR="00C63C17" w:rsidRPr="00C63C17" w:rsidRDefault="00C63C17" w:rsidP="00C63C17">
            <w:pPr>
              <w:pStyle w:val="Header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63C17">
              <w:rPr>
                <w:rFonts w:ascii="Arial" w:eastAsia="Arial" w:hAnsi="Arial" w:cs="Arial"/>
                <w:sz w:val="20"/>
                <w:szCs w:val="20"/>
              </w:rPr>
              <w:t>0 Budget</w:t>
            </w:r>
          </w:p>
          <w:p w14:paraId="1D392FDB" w14:textId="2B959B2F" w:rsidR="00335E12" w:rsidRPr="0048291D" w:rsidRDefault="00C63C17" w:rsidP="00C63C1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C17">
              <w:rPr>
                <w:rFonts w:ascii="Arial" w:eastAsia="Arial" w:hAnsi="Arial" w:cs="Arial"/>
                <w:sz w:val="20"/>
                <w:szCs w:val="20"/>
              </w:rPr>
              <w:t>0 income</w:t>
            </w:r>
          </w:p>
        </w:tc>
      </w:tr>
      <w:tr w:rsidR="00335E12" w:rsidRPr="0048291D" w14:paraId="128AA9AD" w14:textId="77777777" w:rsidTr="00C11195">
        <w:trPr>
          <w:trHeight w:val="381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75B9E06" w14:textId="77777777" w:rsidR="00335E12" w:rsidRPr="0048291D" w:rsidRDefault="00335E12" w:rsidP="00335E12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0CA48CA" w14:textId="77777777" w:rsidR="00335E12" w:rsidRPr="0048291D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B57238E" w14:textId="77777777" w:rsidR="00335E12" w:rsidRPr="0048291D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B4DAF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18FBE4F1" w14:textId="77777777" w:rsidR="00335E12" w:rsidRPr="0048291D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4DAF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335E12" w:rsidRPr="0048291D" w14:paraId="41B47E93" w14:textId="77777777" w:rsidTr="00C11195">
        <w:trPr>
          <w:trHeight w:val="558"/>
        </w:trPr>
        <w:tc>
          <w:tcPr>
            <w:tcW w:w="2382" w:type="dxa"/>
            <w:shd w:val="clear" w:color="auto" w:fill="D9D9D9" w:themeFill="background1" w:themeFillShade="D9"/>
          </w:tcPr>
          <w:p w14:paraId="6C9C0732" w14:textId="77777777" w:rsidR="00335E12" w:rsidRPr="005B4DAF" w:rsidRDefault="00335E12" w:rsidP="00335E12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5B4DAF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38CCEF98" w14:textId="7C9B3ABC" w:rsidR="00335E12" w:rsidRPr="005B4DAF" w:rsidRDefault="00AD141F" w:rsidP="00335E12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 </w:t>
            </w:r>
            <w:r w:rsidR="001E23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105963" w14:textId="77777777" w:rsidR="00335E12" w:rsidRPr="005B4DAF" w:rsidRDefault="00335E12" w:rsidP="00335E12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AF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7341E329" w14:textId="5CA0EEAC" w:rsidR="00335E12" w:rsidRPr="005B4DAF" w:rsidRDefault="00C63C17" w:rsidP="00335E12">
            <w:pPr>
              <w:pStyle w:val="Header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C17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Corporate Functions</w:t>
            </w:r>
          </w:p>
        </w:tc>
      </w:tr>
    </w:tbl>
    <w:p w14:paraId="4468AFC9" w14:textId="77777777" w:rsidR="00F5319A" w:rsidRPr="0048291D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Ind w:w="-998" w:type="dxa"/>
        <w:tblLook w:val="04A0" w:firstRow="1" w:lastRow="0" w:firstColumn="1" w:lastColumn="0" w:noHBand="0" w:noVBand="1"/>
      </w:tblPr>
      <w:tblGrid>
        <w:gridCol w:w="6235"/>
        <w:gridCol w:w="4510"/>
        <w:gridCol w:w="28"/>
        <w:gridCol w:w="22"/>
      </w:tblGrid>
      <w:tr w:rsidR="009E22D0" w:rsidRPr="0048291D" w14:paraId="26F6A701" w14:textId="77777777" w:rsidTr="00C11195">
        <w:trPr>
          <w:trHeight w:val="456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14:paraId="7F2C7873" w14:textId="77777777" w:rsidR="009E22D0" w:rsidRPr="0048291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5CA16" w14:textId="77777777" w:rsidR="009E22D0" w:rsidRPr="0048291D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291D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48291D" w14:paraId="17A77C2D" w14:textId="77777777" w:rsidTr="00C11195">
        <w:trPr>
          <w:trHeight w:val="693"/>
        </w:trPr>
        <w:tc>
          <w:tcPr>
            <w:tcW w:w="10795" w:type="dxa"/>
            <w:gridSpan w:val="4"/>
          </w:tcPr>
          <w:p w14:paraId="094ADA5B" w14:textId="7EBA858B" w:rsidR="003B18A6" w:rsidRPr="0048291D" w:rsidRDefault="003B6307" w:rsidP="00C8166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81660">
              <w:rPr>
                <w:rFonts w:ascii="Arial" w:hAnsi="Arial"/>
                <w:sz w:val="20"/>
              </w:rPr>
              <w:t xml:space="preserve">The purpose of the </w:t>
            </w:r>
            <w:r w:rsidR="00FF61A4">
              <w:rPr>
                <w:rFonts w:ascii="Arial" w:hAnsi="Arial"/>
                <w:sz w:val="20"/>
              </w:rPr>
              <w:t xml:space="preserve">role is </w:t>
            </w:r>
            <w:r w:rsidR="001E2352">
              <w:rPr>
                <w:rFonts w:ascii="Arial" w:hAnsi="Arial"/>
                <w:sz w:val="20"/>
              </w:rPr>
              <w:t xml:space="preserve">to create, configure and manage SharePoint websites using web UI or SharePoint Designer and developing code for SharePoint. The role holder will be responsible for developing applications and leveraging the “out-of-the-box” capabilities of </w:t>
            </w:r>
            <w:r w:rsidR="005F2382">
              <w:rPr>
                <w:rFonts w:ascii="Arial" w:hAnsi="Arial"/>
                <w:sz w:val="20"/>
              </w:rPr>
              <w:t xml:space="preserve">Microsoft </w:t>
            </w:r>
            <w:r w:rsidR="001E2352">
              <w:rPr>
                <w:rFonts w:ascii="Arial" w:hAnsi="Arial"/>
                <w:sz w:val="20"/>
              </w:rPr>
              <w:t>SharePoint to support business process management, collaboration, business intelligence and enterprise content management.</w:t>
            </w:r>
            <w:r w:rsidRPr="00C8166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256F2" w:rsidRPr="00B75089" w14:paraId="05ED15E5" w14:textId="77777777" w:rsidTr="00C11195">
        <w:trPr>
          <w:gridAfter w:val="1"/>
          <w:wAfter w:w="22" w:type="dxa"/>
          <w:trHeight w:val="310"/>
        </w:trPr>
        <w:tc>
          <w:tcPr>
            <w:tcW w:w="6235" w:type="dxa"/>
            <w:shd w:val="clear" w:color="auto" w:fill="D9D9D9" w:themeFill="background1" w:themeFillShade="D9"/>
          </w:tcPr>
          <w:p w14:paraId="65A91D07" w14:textId="77777777" w:rsidR="007256F2" w:rsidRPr="00B75089" w:rsidRDefault="007256F2" w:rsidP="00827A7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B7993" w14:textId="77777777" w:rsidR="007256F2" w:rsidRPr="00B75089" w:rsidRDefault="007256F2" w:rsidP="00827A7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538" w:type="dxa"/>
            <w:gridSpan w:val="2"/>
            <w:shd w:val="clear" w:color="auto" w:fill="D9D9D9" w:themeFill="background1" w:themeFillShade="D9"/>
          </w:tcPr>
          <w:p w14:paraId="5003C2AF" w14:textId="77777777" w:rsidR="007256F2" w:rsidRPr="00B75089" w:rsidRDefault="007256F2" w:rsidP="00827A7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09BF3" w14:textId="77777777" w:rsidR="007256F2" w:rsidRPr="00B75089" w:rsidRDefault="007256F2" w:rsidP="00827A7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036D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E7B9418" w14:textId="77777777" w:rsidR="007256F2" w:rsidRPr="00B75089" w:rsidRDefault="007256F2" w:rsidP="00827A7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6F2" w:rsidRPr="0055036D" w14:paraId="7AD6CAA2" w14:textId="77777777" w:rsidTr="00C11195">
        <w:trPr>
          <w:gridAfter w:val="1"/>
          <w:wAfter w:w="22" w:type="dxa"/>
          <w:trHeight w:val="578"/>
        </w:trPr>
        <w:tc>
          <w:tcPr>
            <w:tcW w:w="6235" w:type="dxa"/>
          </w:tcPr>
          <w:p w14:paraId="1667EA02" w14:textId="77777777" w:rsidR="007256F2" w:rsidRPr="0055036D" w:rsidRDefault="007256F2" w:rsidP="007256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503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Operational </w:t>
            </w:r>
          </w:p>
          <w:p w14:paraId="2B891490" w14:textId="49BD061E" w:rsidR="007256F2" w:rsidRPr="001E2352" w:rsidRDefault="007256F2" w:rsidP="00F2409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</w:t>
            </w:r>
            <w:r w:rsidR="002D1B4A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 xml:space="preserve">igital and </w:t>
            </w:r>
            <w:r w:rsidR="002D1B4A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 xml:space="preserve">hange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divisional strategy and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Applications Delivery </w:t>
            </w:r>
            <w:r w:rsidRPr="0055036D">
              <w:rPr>
                <w:rFonts w:ascii="Arial" w:hAnsi="Arial" w:cs="Arial"/>
                <w:sz w:val="20"/>
                <w:szCs w:val="20"/>
              </w:rPr>
              <w:t>department</w:t>
            </w:r>
            <w:r w:rsidR="005B4072">
              <w:rPr>
                <w:rFonts w:ascii="Arial" w:hAnsi="Arial" w:cs="Arial"/>
                <w:sz w:val="20"/>
                <w:szCs w:val="20"/>
              </w:rPr>
              <w:t>al</w:t>
            </w:r>
            <w:r w:rsidRPr="0055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>strategy to plan, cost and quality</w:t>
            </w:r>
          </w:p>
          <w:p w14:paraId="73A07880" w14:textId="34CFE2CC" w:rsidR="001E2352" w:rsidRPr="002D3A68" w:rsidRDefault="001E2352" w:rsidP="00F2409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Contribute to delivering value from MS SharePoint to solve business problems, driving collaboration</w:t>
            </w:r>
          </w:p>
          <w:p w14:paraId="263C6AFA" w14:textId="54A22818" w:rsidR="002D3A68" w:rsidRPr="0055036D" w:rsidRDefault="002D3A68" w:rsidP="00F2409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to the ever-growing automation of the organisation by levering the capability of SharePoint workflow</w:t>
            </w:r>
          </w:p>
          <w:p w14:paraId="726B14BB" w14:textId="06BCFB01" w:rsidR="007256F2" w:rsidRDefault="007256F2" w:rsidP="00F2409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1E2352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2D3A68">
              <w:rPr>
                <w:rFonts w:ascii="Arial" w:hAnsi="Arial" w:cs="Arial"/>
                <w:sz w:val="20"/>
                <w:szCs w:val="20"/>
              </w:rPr>
              <w:t xml:space="preserve">and future </w:t>
            </w:r>
            <w:r w:rsidR="001E2352">
              <w:rPr>
                <w:rFonts w:ascii="Arial" w:hAnsi="Arial" w:cs="Arial"/>
                <w:sz w:val="20"/>
                <w:szCs w:val="20"/>
              </w:rPr>
              <w:t xml:space="preserve">SharePoint </w:t>
            </w:r>
            <w:r w:rsidR="005F2382">
              <w:rPr>
                <w:rFonts w:ascii="Arial" w:hAnsi="Arial" w:cs="Arial"/>
                <w:sz w:val="20"/>
                <w:szCs w:val="20"/>
              </w:rPr>
              <w:t>implementations</w:t>
            </w:r>
            <w:r w:rsidR="001E2352">
              <w:rPr>
                <w:rFonts w:ascii="Arial" w:hAnsi="Arial" w:cs="Arial"/>
                <w:sz w:val="20"/>
                <w:szCs w:val="20"/>
              </w:rPr>
              <w:t xml:space="preserve"> are following best practice</w:t>
            </w:r>
          </w:p>
          <w:p w14:paraId="1F65756F" w14:textId="70CB7E66" w:rsidR="007256F2" w:rsidRPr="001E2352" w:rsidRDefault="007256F2" w:rsidP="001E2352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continual service improvement plan for the </w:t>
            </w:r>
            <w:r w:rsidR="001E2352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regular retrospectives</w:t>
            </w:r>
          </w:p>
        </w:tc>
        <w:tc>
          <w:tcPr>
            <w:tcW w:w="4538" w:type="dxa"/>
            <w:gridSpan w:val="2"/>
          </w:tcPr>
          <w:p w14:paraId="1256F214" w14:textId="77777777" w:rsidR="007256F2" w:rsidRPr="0055036D" w:rsidRDefault="007256F2" w:rsidP="00F2409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2C919912" w14:textId="77777777" w:rsidR="007256F2" w:rsidRPr="0055036D" w:rsidRDefault="007256F2" w:rsidP="00F2409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  <w:p w14:paraId="68AA1D08" w14:textId="4AF84F0E" w:rsidR="007256F2" w:rsidRPr="0055036D" w:rsidRDefault="007256F2" w:rsidP="00F2409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>eliverables Vs plan</w:t>
            </w:r>
          </w:p>
          <w:p w14:paraId="61289F69" w14:textId="77777777" w:rsidR="007256F2" w:rsidRPr="0055036D" w:rsidRDefault="007256F2" w:rsidP="00F2409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36D">
              <w:rPr>
                <w:rFonts w:ascii="Arial" w:hAnsi="Arial" w:cs="Arial"/>
                <w:sz w:val="20"/>
                <w:szCs w:val="20"/>
              </w:rPr>
              <w:t>Divisional Strategic priorities Vs plan</w:t>
            </w:r>
          </w:p>
          <w:p w14:paraId="6E78615F" w14:textId="6CA48503" w:rsidR="007256F2" w:rsidRPr="00626ACA" w:rsidRDefault="007256F2" w:rsidP="00F2409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Strategic priorities vs plan</w:t>
            </w:r>
          </w:p>
          <w:p w14:paraId="1B3C7EBD" w14:textId="77777777" w:rsidR="007256F2" w:rsidRPr="0055036D" w:rsidRDefault="007256F2" w:rsidP="007256F2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F2" w:rsidRPr="0055036D" w14:paraId="2DA8FC04" w14:textId="77777777" w:rsidTr="00C11195">
        <w:trPr>
          <w:gridAfter w:val="1"/>
          <w:wAfter w:w="22" w:type="dxa"/>
          <w:trHeight w:val="578"/>
        </w:trPr>
        <w:tc>
          <w:tcPr>
            <w:tcW w:w="6235" w:type="dxa"/>
          </w:tcPr>
          <w:p w14:paraId="1D28AEFA" w14:textId="77777777" w:rsidR="007256F2" w:rsidRPr="0055036D" w:rsidRDefault="007256F2" w:rsidP="007256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036D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0BAF0CAD" w14:textId="04467815" w:rsidR="007256F2" w:rsidRPr="0055036D" w:rsidRDefault="007256F2" w:rsidP="00F24093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Pr="0055036D">
              <w:rPr>
                <w:rFonts w:ascii="Arial" w:hAnsi="Arial" w:cs="Arial"/>
                <w:sz w:val="20"/>
                <w:szCs w:val="20"/>
              </w:rPr>
              <w:t xml:space="preserve"> Digital and Change leaders to set and deliver the budget ensuring an efficient and effective </w:t>
            </w:r>
            <w:r>
              <w:rPr>
                <w:rFonts w:ascii="Arial" w:hAnsi="Arial" w:cs="Arial"/>
                <w:sz w:val="20"/>
                <w:szCs w:val="20"/>
              </w:rPr>
              <w:t xml:space="preserve">software delivery </w:t>
            </w:r>
            <w:r w:rsidRPr="0055036D">
              <w:rPr>
                <w:rFonts w:ascii="Arial" w:hAnsi="Arial" w:cs="Arial"/>
                <w:sz w:val="20"/>
                <w:szCs w:val="20"/>
              </w:rPr>
              <w:t>operating model which minimises cost and maximises financial sustainability.</w:t>
            </w:r>
          </w:p>
        </w:tc>
        <w:tc>
          <w:tcPr>
            <w:tcW w:w="4538" w:type="dxa"/>
            <w:gridSpan w:val="2"/>
          </w:tcPr>
          <w:p w14:paraId="127B1351" w14:textId="0C102778" w:rsidR="007256F2" w:rsidRPr="0055036D" w:rsidRDefault="007256F2" w:rsidP="00F2409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036D">
              <w:rPr>
                <w:rFonts w:ascii="Arial" w:hAnsi="Arial" w:cs="Arial"/>
                <w:sz w:val="20"/>
                <w:szCs w:val="20"/>
              </w:rPr>
              <w:t xml:space="preserve">Departmental </w:t>
            </w:r>
            <w:r w:rsidR="005B4072">
              <w:rPr>
                <w:rFonts w:ascii="Arial" w:hAnsi="Arial" w:cs="Arial"/>
                <w:sz w:val="20"/>
                <w:szCs w:val="20"/>
              </w:rPr>
              <w:t>o</w:t>
            </w:r>
            <w:r w:rsidRPr="0055036D">
              <w:rPr>
                <w:rFonts w:ascii="Arial" w:hAnsi="Arial" w:cs="Arial"/>
                <w:sz w:val="20"/>
                <w:szCs w:val="20"/>
              </w:rPr>
              <w:t>perational budget Vs Plan</w:t>
            </w:r>
          </w:p>
          <w:p w14:paraId="7D0115A9" w14:textId="62C6EB87" w:rsidR="007256F2" w:rsidRPr="0055036D" w:rsidRDefault="007256F2" w:rsidP="005B4072">
            <w:pPr>
              <w:pStyle w:val="ListParagraph"/>
              <w:spacing w:before="0" w:beforeAutospacing="0" w:after="0" w:afterAutospacing="0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F2" w:rsidRPr="0055036D" w14:paraId="45EAE87A" w14:textId="77777777" w:rsidTr="00C11195">
        <w:trPr>
          <w:gridAfter w:val="1"/>
          <w:wAfter w:w="22" w:type="dxa"/>
          <w:trHeight w:val="578"/>
        </w:trPr>
        <w:tc>
          <w:tcPr>
            <w:tcW w:w="6235" w:type="dxa"/>
          </w:tcPr>
          <w:p w14:paraId="46D8F69A" w14:textId="77777777" w:rsidR="007256F2" w:rsidRPr="0055036D" w:rsidRDefault="007256F2" w:rsidP="007256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036D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0C7940EC" w14:textId="77777777" w:rsidR="007256F2" w:rsidRDefault="007256F2" w:rsidP="00F24093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5036D">
              <w:rPr>
                <w:rFonts w:ascii="Arial" w:hAnsi="Arial" w:cs="Arial"/>
                <w:sz w:val="20"/>
                <w:szCs w:val="20"/>
              </w:rPr>
              <w:t>Monitor and provide robust challenge of emerging risks and issues arising from business activities which fail to deliver appropriate and consistent outcomes for members or are likely to have a material adverse effect on the Group, its operation or financial security</w:t>
            </w:r>
          </w:p>
          <w:p w14:paraId="22BC6272" w14:textId="77777777" w:rsidR="007256F2" w:rsidRPr="00F615D3" w:rsidRDefault="007256F2" w:rsidP="00F2409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C5CE0">
              <w:rPr>
                <w:rFonts w:ascii="Arial" w:eastAsia="Calibri" w:hAnsi="Arial" w:cs="Arial"/>
                <w:sz w:val="20"/>
                <w:szCs w:val="20"/>
              </w:rPr>
              <w:t>Provide support to the D&amp;C division to ensure fair treatment and outcomes for colleagues and the organisation ensuring compliance with associated policies.</w:t>
            </w:r>
          </w:p>
          <w:p w14:paraId="3019788C" w14:textId="77777777" w:rsidR="007256F2" w:rsidRPr="0055036D" w:rsidRDefault="007256F2" w:rsidP="00F24093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26ACA">
              <w:rPr>
                <w:rFonts w:ascii="Arial" w:eastAsia="Calibri" w:hAnsi="Arial" w:cs="Arial"/>
                <w:sz w:val="20"/>
                <w:szCs w:val="20"/>
              </w:rPr>
              <w:t xml:space="preserve">Seek opportunities to continuously improve ways of working and contribute to team, department and divisional continuous improvement projects aimed to drive operational </w:t>
            </w:r>
            <w:r w:rsidRPr="00626AC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efficiency, deliver on KPIs, SLA’s, financial targets and great member experience and outcome. </w:t>
            </w:r>
          </w:p>
        </w:tc>
        <w:tc>
          <w:tcPr>
            <w:tcW w:w="4538" w:type="dxa"/>
            <w:gridSpan w:val="2"/>
          </w:tcPr>
          <w:p w14:paraId="5C325120" w14:textId="77777777" w:rsidR="007256F2" w:rsidRPr="0053598F" w:rsidRDefault="007256F2" w:rsidP="00F2409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115F104B" w14:textId="77777777" w:rsidR="007256F2" w:rsidRDefault="007256F2" w:rsidP="00F2409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Member satisfaction survey results vs plan</w:t>
            </w:r>
          </w:p>
          <w:p w14:paraId="0700D4A8" w14:textId="77777777" w:rsidR="007256F2" w:rsidRPr="0055036D" w:rsidRDefault="007256F2" w:rsidP="007256F2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F2" w:rsidRPr="0055036D" w14:paraId="7ED1D42A" w14:textId="77777777" w:rsidTr="00C11195">
        <w:trPr>
          <w:gridAfter w:val="1"/>
          <w:wAfter w:w="22" w:type="dxa"/>
          <w:trHeight w:val="591"/>
        </w:trPr>
        <w:tc>
          <w:tcPr>
            <w:tcW w:w="6235" w:type="dxa"/>
          </w:tcPr>
          <w:p w14:paraId="5FE57A0B" w14:textId="77777777" w:rsidR="007256F2" w:rsidRPr="0055036D" w:rsidRDefault="007256F2" w:rsidP="007256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036D">
              <w:rPr>
                <w:rFonts w:ascii="Arial" w:hAnsi="Arial" w:cs="Arial"/>
                <w:b/>
                <w:sz w:val="20"/>
                <w:szCs w:val="20"/>
              </w:rPr>
              <w:t xml:space="preserve">People </w:t>
            </w:r>
            <w:r w:rsidRPr="0055036D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14:paraId="0187DD27" w14:textId="77777777" w:rsidR="007256F2" w:rsidRPr="00534D86" w:rsidRDefault="007256F2" w:rsidP="00F24093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534D86">
              <w:rPr>
                <w:rFonts w:ascii="Arial" w:eastAsia="Calibri" w:hAnsi="Arial" w:cs="Arial"/>
                <w:sz w:val="20"/>
                <w:szCs w:val="20"/>
              </w:rPr>
              <w:t>Take accountability for own CPD, training, competence, performance and engagement of self and colleagues, ensuring clarity on own accountabilities and comply with all law, governance, policy standards and processes.</w:t>
            </w:r>
          </w:p>
          <w:p w14:paraId="543BDCE3" w14:textId="77777777" w:rsidR="007256F2" w:rsidRPr="00B579CA" w:rsidRDefault="007256F2" w:rsidP="00F24093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D351FF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>
              <w:rPr>
                <w:rFonts w:ascii="Arial" w:hAnsi="Arial" w:cs="Arial"/>
                <w:sz w:val="20"/>
                <w:szCs w:val="20"/>
              </w:rPr>
              <w:t xml:space="preserve">colleague </w:t>
            </w:r>
            <w:r w:rsidRPr="00D351FF">
              <w:rPr>
                <w:rFonts w:ascii="Arial" w:hAnsi="Arial" w:cs="Arial"/>
                <w:sz w:val="20"/>
                <w:szCs w:val="20"/>
              </w:rPr>
              <w:t>understanding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51FF">
              <w:rPr>
                <w:rFonts w:ascii="Arial" w:hAnsi="Arial" w:cs="Arial"/>
                <w:sz w:val="20"/>
                <w:szCs w:val="20"/>
              </w:rPr>
              <w:t xml:space="preserve">relevant processes and policies through on-going dialogue with </w:t>
            </w:r>
            <w:r>
              <w:rPr>
                <w:rFonts w:ascii="Arial" w:hAnsi="Arial" w:cs="Arial"/>
                <w:sz w:val="20"/>
                <w:szCs w:val="20"/>
              </w:rPr>
              <w:t>colleagues</w:t>
            </w:r>
            <w:r w:rsidRPr="00D351FF">
              <w:rPr>
                <w:rFonts w:ascii="Arial" w:hAnsi="Arial" w:cs="Arial"/>
                <w:sz w:val="20"/>
                <w:szCs w:val="20"/>
              </w:rPr>
              <w:t xml:space="preserve"> and through periodic workshops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95C164" w14:textId="0D446E99" w:rsidR="007256F2" w:rsidRPr="00B579CA" w:rsidRDefault="007256F2" w:rsidP="00F24093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B01CF">
              <w:rPr>
                <w:rFonts w:ascii="Arial" w:eastAsia="Calibri" w:hAnsi="Arial" w:cs="Arial"/>
                <w:sz w:val="20"/>
                <w:szCs w:val="20"/>
              </w:rPr>
              <w:t xml:space="preserve">Maintain a strong culture of compliance across all </w:t>
            </w:r>
            <w:r w:rsidR="002D1B4A">
              <w:rPr>
                <w:rFonts w:ascii="Arial" w:eastAsia="Calibri" w:hAnsi="Arial" w:cs="Arial"/>
                <w:sz w:val="20"/>
                <w:szCs w:val="20"/>
              </w:rPr>
              <w:t>relevant divisional</w:t>
            </w:r>
            <w:r w:rsidRPr="004B01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B4A">
              <w:rPr>
                <w:rFonts w:ascii="Arial" w:eastAsia="Calibri" w:hAnsi="Arial" w:cs="Arial"/>
                <w:sz w:val="20"/>
                <w:szCs w:val="20"/>
              </w:rPr>
              <w:t xml:space="preserve">and departmental </w:t>
            </w:r>
            <w:r w:rsidRPr="004B01CF">
              <w:rPr>
                <w:rFonts w:ascii="Arial" w:eastAsia="Calibri" w:hAnsi="Arial" w:cs="Arial"/>
                <w:sz w:val="20"/>
                <w:szCs w:val="20"/>
              </w:rPr>
              <w:t>processes, challenging if required to ensure processes are followed across the business</w:t>
            </w:r>
          </w:p>
          <w:p w14:paraId="6728DEDC" w14:textId="77777777" w:rsidR="007256F2" w:rsidRPr="00951290" w:rsidRDefault="007256F2" w:rsidP="002D1B4A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</w:tcPr>
          <w:p w14:paraId="25FA8D58" w14:textId="77777777" w:rsidR="007256F2" w:rsidRPr="00626ACA" w:rsidRDefault="007256F2" w:rsidP="00F24093">
            <w:pPr>
              <w:pStyle w:val="ListParagraph"/>
              <w:numPr>
                <w:ilvl w:val="0"/>
                <w:numId w:val="2"/>
              </w:numPr>
              <w:tabs>
                <w:tab w:val="left" w:pos="3145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26ACA"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180D2045" w14:textId="77777777" w:rsidR="007256F2" w:rsidRPr="00626ACA" w:rsidRDefault="007256F2" w:rsidP="00F24093">
            <w:pPr>
              <w:pStyle w:val="ListParagraph"/>
              <w:numPr>
                <w:ilvl w:val="0"/>
                <w:numId w:val="2"/>
              </w:numPr>
              <w:tabs>
                <w:tab w:val="left" w:pos="3145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26ACA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4A9BAC7D" w14:textId="77777777" w:rsidR="007256F2" w:rsidRPr="00626ACA" w:rsidRDefault="007256F2" w:rsidP="00F24093">
            <w:pPr>
              <w:pStyle w:val="ListParagraph"/>
              <w:numPr>
                <w:ilvl w:val="0"/>
                <w:numId w:val="2"/>
              </w:numPr>
              <w:tabs>
                <w:tab w:val="left" w:pos="3145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26ACA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13524CE" w14:textId="77777777" w:rsidR="007256F2" w:rsidRPr="0055036D" w:rsidRDefault="007256F2" w:rsidP="00F24093">
            <w:pPr>
              <w:pStyle w:val="ListParagraph"/>
              <w:numPr>
                <w:ilvl w:val="0"/>
                <w:numId w:val="2"/>
              </w:numPr>
              <w:tabs>
                <w:tab w:val="left" w:pos="3145"/>
              </w:tabs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26ACA">
              <w:rPr>
                <w:rFonts w:ascii="Arial" w:hAnsi="Arial" w:cs="Arial"/>
                <w:sz w:val="20"/>
                <w:szCs w:val="20"/>
              </w:rPr>
              <w:t>Stakeholder feedback</w:t>
            </w:r>
            <w:r w:rsidRPr="0055036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256F2" w:rsidRPr="0055036D" w14:paraId="1A278FC6" w14:textId="77777777" w:rsidTr="00C11195">
        <w:trPr>
          <w:gridAfter w:val="1"/>
          <w:wAfter w:w="22" w:type="dxa"/>
          <w:trHeight w:val="591"/>
        </w:trPr>
        <w:tc>
          <w:tcPr>
            <w:tcW w:w="6235" w:type="dxa"/>
          </w:tcPr>
          <w:p w14:paraId="52C54D96" w14:textId="77777777" w:rsidR="007256F2" w:rsidRPr="0055036D" w:rsidRDefault="007256F2" w:rsidP="007256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036D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63E56EB" w14:textId="77777777" w:rsidR="007256F2" w:rsidRPr="00A87FA7" w:rsidRDefault="007256F2" w:rsidP="00F24093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 xml:space="preserve">Contribute to an environment where all colleagues in </w:t>
            </w:r>
            <w:r>
              <w:rPr>
                <w:rFonts w:ascii="Arial" w:hAnsi="Arial" w:cs="Arial"/>
                <w:sz w:val="20"/>
                <w:szCs w:val="20"/>
              </w:rPr>
              <w:t>D&amp;C</w:t>
            </w:r>
            <w:r w:rsidRPr="00A87FA7">
              <w:rPr>
                <w:rFonts w:ascii="Arial" w:hAnsi="Arial" w:cs="Arial"/>
                <w:sz w:val="20"/>
                <w:szCs w:val="20"/>
              </w:rPr>
              <w:t xml:space="preserve"> recognise the importance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adherence to policies and procedures, </w:t>
            </w:r>
            <w:r w:rsidRPr="00A87FA7">
              <w:rPr>
                <w:rFonts w:ascii="Arial" w:hAnsi="Arial" w:cs="Arial"/>
                <w:sz w:val="20"/>
                <w:szCs w:val="20"/>
              </w:rPr>
              <w:t xml:space="preserve">risk identification and management </w:t>
            </w:r>
          </w:p>
          <w:p w14:paraId="509976FF" w14:textId="77777777" w:rsidR="007256F2" w:rsidRPr="00A87FA7" w:rsidRDefault="007256F2" w:rsidP="00F24093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hAnsi="Arial" w:cs="Arial"/>
                <w:sz w:val="20"/>
                <w:szCs w:val="20"/>
              </w:rPr>
              <w:t>D&amp;C</w:t>
            </w:r>
            <w:r w:rsidRPr="00A87FA7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 </w:t>
            </w:r>
          </w:p>
          <w:p w14:paraId="2A76F7C5" w14:textId="77777777" w:rsidR="007256F2" w:rsidRDefault="007256F2" w:rsidP="00F24093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</w:t>
            </w:r>
          </w:p>
          <w:p w14:paraId="310BFFF5" w14:textId="77777777" w:rsidR="007256F2" w:rsidRDefault="007256F2" w:rsidP="00F24093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615D3">
              <w:rPr>
                <w:rFonts w:ascii="Arial" w:hAnsi="Arial" w:cs="Arial"/>
                <w:sz w:val="20"/>
                <w:szCs w:val="20"/>
              </w:rPr>
              <w:t>Comply with applicable professional ethical guidance, external regulation and all relevant internal policy and procedures, including those relating to health and safety, data protection and IT security.</w:t>
            </w:r>
          </w:p>
          <w:p w14:paraId="3467271B" w14:textId="3318BA33" w:rsidR="007256F2" w:rsidRPr="00951290" w:rsidRDefault="007256F2" w:rsidP="00F24093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</w:t>
            </w:r>
            <w:r w:rsidRPr="00406F4A">
              <w:rPr>
                <w:rFonts w:ascii="Arial" w:hAnsi="Arial" w:cs="Arial"/>
                <w:sz w:val="20"/>
                <w:szCs w:val="20"/>
              </w:rPr>
              <w:t xml:space="preserve"> effective governance of </w:t>
            </w:r>
            <w:r w:rsidR="002D1B4A">
              <w:rPr>
                <w:rFonts w:ascii="Arial" w:hAnsi="Arial" w:cs="Arial"/>
                <w:sz w:val="20"/>
                <w:szCs w:val="20"/>
              </w:rPr>
              <w:t xml:space="preserve">software delivery </w:t>
            </w:r>
            <w:r w:rsidRPr="00406F4A">
              <w:rPr>
                <w:rFonts w:ascii="Arial" w:hAnsi="Arial" w:cs="Arial"/>
                <w:sz w:val="20"/>
                <w:szCs w:val="20"/>
              </w:rPr>
              <w:t>risk and issue management to ensure that risks to delivery and benefit realisation are understood and mitigated or accepted</w:t>
            </w:r>
          </w:p>
        </w:tc>
        <w:tc>
          <w:tcPr>
            <w:tcW w:w="4538" w:type="dxa"/>
            <w:gridSpan w:val="2"/>
          </w:tcPr>
          <w:p w14:paraId="74540D20" w14:textId="77777777" w:rsidR="007256F2" w:rsidRPr="0055036D" w:rsidRDefault="007256F2" w:rsidP="00F2409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>Programme and Project Risk management plans (RAID)</w:t>
            </w:r>
          </w:p>
          <w:p w14:paraId="5788680E" w14:textId="77777777" w:rsidR="007256F2" w:rsidRPr="0055036D" w:rsidRDefault="007256F2" w:rsidP="00F2409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>Compliance with organisational Risk &amp; Control policies and processes</w:t>
            </w:r>
          </w:p>
          <w:p w14:paraId="270CBC6D" w14:textId="77777777" w:rsidR="007256F2" w:rsidRPr="00626ACA" w:rsidRDefault="007256F2" w:rsidP="00F2409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>Audit Actions completed in line with agreed management response</w:t>
            </w:r>
          </w:p>
          <w:p w14:paraId="2EA5652F" w14:textId="77777777" w:rsidR="007256F2" w:rsidRPr="0055036D" w:rsidRDefault="007256F2" w:rsidP="00F2409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</w:tc>
      </w:tr>
      <w:tr w:rsidR="009E22D0" w:rsidRPr="0048291D" w14:paraId="5E1C439B" w14:textId="77777777" w:rsidTr="00C11195">
        <w:trPr>
          <w:gridAfter w:val="2"/>
          <w:wAfter w:w="50" w:type="dxa"/>
          <w:trHeight w:val="456"/>
        </w:trPr>
        <w:tc>
          <w:tcPr>
            <w:tcW w:w="10745" w:type="dxa"/>
            <w:gridSpan w:val="2"/>
            <w:shd w:val="clear" w:color="auto" w:fill="D9D9D9" w:themeFill="background1" w:themeFillShade="D9"/>
          </w:tcPr>
          <w:p w14:paraId="1E657637" w14:textId="77777777" w:rsidR="009E22D0" w:rsidRPr="0048291D" w:rsidRDefault="009E22D0" w:rsidP="003B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4D500" w14:textId="77777777" w:rsidR="009E22D0" w:rsidRPr="0048291D" w:rsidRDefault="009E22D0" w:rsidP="003B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291D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48291D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48291D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48291D" w14:paraId="7E5510C8" w14:textId="77777777" w:rsidTr="00C11195">
        <w:trPr>
          <w:gridAfter w:val="2"/>
          <w:wAfter w:w="50" w:type="dxa"/>
          <w:trHeight w:val="693"/>
        </w:trPr>
        <w:tc>
          <w:tcPr>
            <w:tcW w:w="10745" w:type="dxa"/>
            <w:gridSpan w:val="2"/>
          </w:tcPr>
          <w:p w14:paraId="1745116B" w14:textId="77777777" w:rsidR="002D3A68" w:rsidRPr="002D3A68" w:rsidRDefault="00F368E9" w:rsidP="00F24093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24B2">
              <w:rPr>
                <w:rFonts w:ascii="Arial" w:eastAsia="Calibri" w:hAnsi="Arial" w:cs="Arial"/>
                <w:sz w:val="20"/>
                <w:szCs w:val="20"/>
              </w:rPr>
              <w:t xml:space="preserve">Act as an advocate </w:t>
            </w:r>
            <w:r w:rsidR="00C11195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9E24B2">
              <w:rPr>
                <w:rFonts w:ascii="Arial" w:eastAsia="Calibri" w:hAnsi="Arial" w:cs="Arial"/>
                <w:sz w:val="20"/>
                <w:szCs w:val="20"/>
              </w:rPr>
              <w:t xml:space="preserve"> Digital and Change, finding opportunities to utilise </w:t>
            </w:r>
            <w:r w:rsidR="002D3A68">
              <w:rPr>
                <w:rFonts w:ascii="Arial" w:eastAsia="Calibri" w:hAnsi="Arial" w:cs="Arial"/>
                <w:sz w:val="20"/>
                <w:szCs w:val="20"/>
              </w:rPr>
              <w:t>Microsoft SharePoint</w:t>
            </w:r>
            <w:r w:rsidRPr="009E24B2">
              <w:rPr>
                <w:rFonts w:ascii="Arial" w:eastAsia="Calibri" w:hAnsi="Arial" w:cs="Arial"/>
                <w:sz w:val="20"/>
                <w:szCs w:val="20"/>
              </w:rPr>
              <w:t xml:space="preserve"> to the benefit of MPS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DD6EA56" w14:textId="2CC64FA6" w:rsidR="00F368E9" w:rsidRPr="00F368E9" w:rsidRDefault="002D3A68" w:rsidP="00F24093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F368E9" w:rsidRPr="009E24B2">
              <w:rPr>
                <w:rFonts w:ascii="Arial" w:eastAsia="Calibri" w:hAnsi="Arial" w:cs="Arial"/>
                <w:sz w:val="20"/>
                <w:szCs w:val="20"/>
              </w:rPr>
              <w:t>o work alongside 3</w:t>
            </w:r>
            <w:r w:rsidR="00F368E9" w:rsidRPr="009E24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rd</w:t>
            </w:r>
            <w:r w:rsidR="00F368E9" w:rsidRPr="009E24B2">
              <w:rPr>
                <w:rFonts w:ascii="Arial" w:eastAsia="Calibri" w:hAnsi="Arial" w:cs="Arial"/>
                <w:sz w:val="20"/>
                <w:szCs w:val="20"/>
              </w:rPr>
              <w:t xml:space="preserve"> Party providers to continually improve existing systems and support for implementing new technology.</w:t>
            </w:r>
          </w:p>
          <w:p w14:paraId="55F48B77" w14:textId="5A5387D0" w:rsidR="005F45C8" w:rsidRPr="00F368E9" w:rsidRDefault="005F45C8" w:rsidP="00F24093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68E9">
              <w:rPr>
                <w:rFonts w:ascii="Arial" w:hAnsi="Arial" w:cs="Arial"/>
                <w:sz w:val="20"/>
              </w:rPr>
              <w:t xml:space="preserve">Deliver all activities and initiatives in line with the </w:t>
            </w:r>
            <w:r w:rsidR="002D1B4A">
              <w:rPr>
                <w:rFonts w:ascii="Arial" w:hAnsi="Arial" w:cs="Arial"/>
                <w:sz w:val="20"/>
              </w:rPr>
              <w:t>software delivery strategy</w:t>
            </w:r>
            <w:r w:rsidRPr="00F368E9">
              <w:rPr>
                <w:rFonts w:ascii="Arial" w:hAnsi="Arial" w:cs="Arial"/>
                <w:sz w:val="20"/>
              </w:rPr>
              <w:t xml:space="preserve">. Maintaining those principles, policies, procedures, and controls needed to deliver </w:t>
            </w:r>
            <w:r w:rsidR="0096142B">
              <w:rPr>
                <w:rFonts w:ascii="Arial" w:hAnsi="Arial" w:cs="Arial"/>
                <w:sz w:val="20"/>
              </w:rPr>
              <w:t>the best outcomes</w:t>
            </w:r>
            <w:r w:rsidR="00F368E9">
              <w:rPr>
                <w:rFonts w:ascii="Arial" w:hAnsi="Arial" w:cs="Arial"/>
                <w:sz w:val="20"/>
              </w:rPr>
              <w:t>.</w:t>
            </w:r>
          </w:p>
          <w:p w14:paraId="6DE393FF" w14:textId="0D85A3ED" w:rsidR="002D1B4A" w:rsidRPr="002D1B4A" w:rsidRDefault="002D1B4A" w:rsidP="00F2409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1B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Build productive relationships across the organisation, identifying and developing engagement opportunities with key stakeholders to ensure deliverables are understood and accepted by business stakeholders</w:t>
            </w:r>
          </w:p>
          <w:p w14:paraId="46F50724" w14:textId="12C2B1F8" w:rsidR="00335E12" w:rsidRDefault="00335E12" w:rsidP="00F2409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613EC">
              <w:rPr>
                <w:rFonts w:ascii="Arial" w:hAnsi="Arial" w:cs="Arial"/>
                <w:sz w:val="20"/>
                <w:szCs w:val="20"/>
              </w:rPr>
              <w:t xml:space="preserve">Provide relevant information and guidance to management to help make decisions and recommendations regarding </w:t>
            </w:r>
            <w:r>
              <w:rPr>
                <w:rFonts w:ascii="Arial" w:hAnsi="Arial" w:cs="Arial"/>
                <w:sz w:val="20"/>
                <w:szCs w:val="20"/>
              </w:rPr>
              <w:t>findings/observations</w:t>
            </w:r>
            <w:r w:rsidR="002D1B4A">
              <w:rPr>
                <w:rFonts w:ascii="Arial" w:hAnsi="Arial" w:cs="Arial"/>
                <w:sz w:val="20"/>
                <w:szCs w:val="20"/>
              </w:rPr>
              <w:t xml:space="preserve"> and act as an escalation point for team members</w:t>
            </w:r>
          </w:p>
          <w:p w14:paraId="792AE9B7" w14:textId="702A0EC6" w:rsidR="002D1B4A" w:rsidRPr="002D1B4A" w:rsidRDefault="00335E12" w:rsidP="00F2409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613EC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2071B9E0" w14:textId="4EEA5DEF" w:rsidR="009A2500" w:rsidRDefault="009A2500" w:rsidP="003B63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22705F" w14:textId="1AF61607" w:rsidR="002D3A68" w:rsidRDefault="002D3A68" w:rsidP="003B63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B7DB03" w14:textId="77777777" w:rsidR="005F2382" w:rsidRDefault="005F2382" w:rsidP="003B63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06D15A" w14:textId="77777777" w:rsidR="00C24AEB" w:rsidRDefault="00C24AEB" w:rsidP="003B63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68674E" w:rsidRPr="00B75089" w14:paraId="60C533F3" w14:textId="77777777" w:rsidTr="00C24AEB">
        <w:trPr>
          <w:trHeight w:val="456"/>
        </w:trPr>
        <w:tc>
          <w:tcPr>
            <w:tcW w:w="10774" w:type="dxa"/>
            <w:shd w:val="clear" w:color="auto" w:fill="D9D9D9" w:themeFill="background1" w:themeFillShade="D9"/>
          </w:tcPr>
          <w:p w14:paraId="13159BF4" w14:textId="77777777" w:rsidR="0068674E" w:rsidRPr="00B75089" w:rsidRDefault="0068674E" w:rsidP="003B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C9537" w14:textId="77777777" w:rsidR="0068674E" w:rsidRPr="00B75089" w:rsidRDefault="0068674E" w:rsidP="003B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68674E" w:rsidRPr="00B75089" w14:paraId="25210A86" w14:textId="77777777" w:rsidTr="00C24AEB">
        <w:trPr>
          <w:trHeight w:val="349"/>
        </w:trPr>
        <w:tc>
          <w:tcPr>
            <w:tcW w:w="10774" w:type="dxa"/>
          </w:tcPr>
          <w:p w14:paraId="5FABFE1D" w14:textId="4F59F07E" w:rsidR="0068674E" w:rsidRDefault="002D1B4A" w:rsidP="00F24093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Stakeholder Management </w:t>
            </w:r>
          </w:p>
          <w:p w14:paraId="6A6E50DC" w14:textId="702A6180" w:rsidR="002D1B4A" w:rsidRPr="00CC7F3D" w:rsidRDefault="002D1B4A" w:rsidP="002D3A68">
            <w:pPr>
              <w:pStyle w:val="ListParagraph"/>
              <w:spacing w:before="0" w:beforeAutospacing="0" w:after="0" w:afterAutospacing="0"/>
              <w:ind w:left="483"/>
              <w:rPr>
                <w:rFonts w:ascii="Arial" w:hAnsi="Arial" w:cs="Arial"/>
                <w:sz w:val="20"/>
              </w:rPr>
            </w:pPr>
          </w:p>
        </w:tc>
      </w:tr>
    </w:tbl>
    <w:p w14:paraId="04B556CA" w14:textId="3BCF2B52" w:rsidR="0068674E" w:rsidRDefault="0068674E" w:rsidP="003B63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5" w:type="dxa"/>
        <w:tblInd w:w="-998" w:type="dxa"/>
        <w:tblLook w:val="04A0" w:firstRow="1" w:lastRow="0" w:firstColumn="1" w:lastColumn="0" w:noHBand="0" w:noVBand="1"/>
      </w:tblPr>
      <w:tblGrid>
        <w:gridCol w:w="6263"/>
        <w:gridCol w:w="4482"/>
      </w:tblGrid>
      <w:tr w:rsidR="0056188D" w:rsidRPr="0048291D" w14:paraId="149E89BF" w14:textId="77777777" w:rsidTr="00C24AEB">
        <w:trPr>
          <w:trHeight w:val="310"/>
        </w:trPr>
        <w:tc>
          <w:tcPr>
            <w:tcW w:w="6263" w:type="dxa"/>
            <w:shd w:val="clear" w:color="auto" w:fill="D9D9D9" w:themeFill="background1" w:themeFillShade="D9"/>
          </w:tcPr>
          <w:p w14:paraId="5199D358" w14:textId="77777777" w:rsidR="0056188D" w:rsidRPr="0048291D" w:rsidRDefault="00C91CFA" w:rsidP="003B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291D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4E790AC2" w14:textId="488F8368" w:rsidR="0056188D" w:rsidRPr="0048291D" w:rsidRDefault="00C91CFA" w:rsidP="003B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91D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48291D" w14:paraId="6C092ED0" w14:textId="77777777" w:rsidTr="00C24AEB">
        <w:trPr>
          <w:trHeight w:val="211"/>
        </w:trPr>
        <w:tc>
          <w:tcPr>
            <w:tcW w:w="6263" w:type="dxa"/>
          </w:tcPr>
          <w:p w14:paraId="211732FD" w14:textId="77777777" w:rsidR="0056188D" w:rsidRPr="0048291D" w:rsidRDefault="0056188D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120BDC25" w14:textId="27F81D7F" w:rsidR="0056188D" w:rsidRPr="0048291D" w:rsidRDefault="0048291D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2D3A68">
              <w:rPr>
                <w:rFonts w:ascii="Arial" w:hAnsi="Arial" w:cs="Arial"/>
                <w:sz w:val="20"/>
                <w:szCs w:val="20"/>
              </w:rPr>
              <w:t>Self</w:t>
            </w:r>
            <w:r w:rsidR="00686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8E8" w:rsidRPr="0048291D" w14:paraId="2B19B47A" w14:textId="77777777" w:rsidTr="00C24AEB">
        <w:trPr>
          <w:trHeight w:val="211"/>
        </w:trPr>
        <w:tc>
          <w:tcPr>
            <w:tcW w:w="6263" w:type="dxa"/>
          </w:tcPr>
          <w:p w14:paraId="3755C452" w14:textId="77777777" w:rsidR="004D18E8" w:rsidRPr="0048291D" w:rsidRDefault="004D18E8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48291D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705940D9" w14:textId="082535EA" w:rsidR="004D18E8" w:rsidRPr="0048291D" w:rsidRDefault="0068674E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2D3A6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48291D" w14:paraId="25B3B3BF" w14:textId="77777777" w:rsidTr="00C24AEB">
        <w:trPr>
          <w:trHeight w:val="211"/>
        </w:trPr>
        <w:tc>
          <w:tcPr>
            <w:tcW w:w="6263" w:type="dxa"/>
          </w:tcPr>
          <w:p w14:paraId="142D78AD" w14:textId="77777777" w:rsidR="004D18E8" w:rsidRPr="0048291D" w:rsidRDefault="004D18E8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F7B3BD9" w14:textId="7CCC21FD" w:rsidR="004D18E8" w:rsidRPr="0048291D" w:rsidRDefault="0068674E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2D3A6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48291D" w14:paraId="2AFE39E1" w14:textId="77777777" w:rsidTr="00C24AEB">
        <w:trPr>
          <w:trHeight w:val="211"/>
        </w:trPr>
        <w:tc>
          <w:tcPr>
            <w:tcW w:w="6263" w:type="dxa"/>
          </w:tcPr>
          <w:p w14:paraId="7A037DE6" w14:textId="77777777" w:rsidR="004D18E8" w:rsidRPr="0048291D" w:rsidRDefault="004D18E8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48291D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301E6C0" w14:textId="5069FC6D" w:rsidR="004D18E8" w:rsidRPr="0048291D" w:rsidRDefault="0068674E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48291D" w14:paraId="7360E2D7" w14:textId="77777777" w:rsidTr="00C24AEB">
        <w:trPr>
          <w:trHeight w:val="211"/>
        </w:trPr>
        <w:tc>
          <w:tcPr>
            <w:tcW w:w="6263" w:type="dxa"/>
          </w:tcPr>
          <w:p w14:paraId="75FF3664" w14:textId="77777777" w:rsidR="004D18E8" w:rsidRPr="0048291D" w:rsidRDefault="004D18E8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AD6895F" w14:textId="2E858A30" w:rsidR="004D18E8" w:rsidRPr="0048291D" w:rsidRDefault="0068674E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533C7F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48291D" w14:paraId="0F72E861" w14:textId="77777777" w:rsidTr="00C24AEB">
        <w:trPr>
          <w:trHeight w:val="211"/>
        </w:trPr>
        <w:tc>
          <w:tcPr>
            <w:tcW w:w="6263" w:type="dxa"/>
          </w:tcPr>
          <w:p w14:paraId="66EB506F" w14:textId="77777777" w:rsidR="004D18E8" w:rsidRPr="0048291D" w:rsidRDefault="004D18E8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48291D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6C7995C0" w14:textId="5A98D929" w:rsidR="004D18E8" w:rsidRPr="0048291D" w:rsidRDefault="0068674E" w:rsidP="003B6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2D3A6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836" w:tblpY="500"/>
        <w:tblW w:w="10745" w:type="dxa"/>
        <w:tblLook w:val="04A0" w:firstRow="1" w:lastRow="0" w:firstColumn="1" w:lastColumn="0" w:noHBand="0" w:noVBand="1"/>
      </w:tblPr>
      <w:tblGrid>
        <w:gridCol w:w="749"/>
        <w:gridCol w:w="3079"/>
        <w:gridCol w:w="3402"/>
        <w:gridCol w:w="3515"/>
      </w:tblGrid>
      <w:tr w:rsidR="00FF16B8" w:rsidRPr="0048291D" w14:paraId="67079ADB" w14:textId="77777777" w:rsidTr="00C24AEB">
        <w:trPr>
          <w:trHeight w:val="222"/>
        </w:trPr>
        <w:tc>
          <w:tcPr>
            <w:tcW w:w="749" w:type="dxa"/>
            <w:shd w:val="clear" w:color="auto" w:fill="D9D9D9" w:themeFill="background1" w:themeFillShade="D9"/>
          </w:tcPr>
          <w:p w14:paraId="46498E01" w14:textId="75F9EE6A" w:rsidR="00E40AC5" w:rsidRPr="0048291D" w:rsidRDefault="00E40AC5" w:rsidP="00C24AEB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D9D9D9" w:themeFill="background1" w:themeFillShade="D9"/>
          </w:tcPr>
          <w:p w14:paraId="0ED9A21F" w14:textId="77777777" w:rsidR="00E40AC5" w:rsidRPr="0048291D" w:rsidRDefault="00E40AC5" w:rsidP="00C24AEB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1D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E2D2600" w14:textId="77777777" w:rsidR="00E40AC5" w:rsidRPr="0048291D" w:rsidRDefault="00E40AC5" w:rsidP="00C24AEB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1D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3517A452" w14:textId="77777777" w:rsidR="00E40AC5" w:rsidRPr="0048291D" w:rsidRDefault="00E40AC5" w:rsidP="00C24AEB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1D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335E12" w:rsidRPr="0048291D" w14:paraId="1272D1E7" w14:textId="77777777" w:rsidTr="00C24AEB">
        <w:trPr>
          <w:cantSplit/>
          <w:trHeight w:val="558"/>
        </w:trPr>
        <w:tc>
          <w:tcPr>
            <w:tcW w:w="749" w:type="dxa"/>
            <w:shd w:val="clear" w:color="auto" w:fill="D9D9D9" w:themeFill="background1" w:themeFillShade="D9"/>
            <w:textDirection w:val="btLr"/>
          </w:tcPr>
          <w:p w14:paraId="29CC9ED3" w14:textId="77777777" w:rsidR="00335E12" w:rsidRPr="0048291D" w:rsidRDefault="00335E12" w:rsidP="00C24AEB">
            <w:pPr>
              <w:spacing w:beforeAutospacing="0" w:after="0" w:afterAutospacing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1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79" w:type="dxa"/>
          </w:tcPr>
          <w:p w14:paraId="7EA3D21B" w14:textId="1D4B54FB" w:rsidR="00C11195" w:rsidRPr="00C11195" w:rsidRDefault="00C11195" w:rsidP="00C24AE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C18E9">
              <w:rPr>
                <w:rFonts w:ascii="Arial" w:eastAsia="Calibri" w:hAnsi="Arial" w:cs="Arial"/>
                <w:sz w:val="20"/>
                <w:szCs w:val="20"/>
              </w:rPr>
              <w:t>Educated to degree standard and/or hold relevant professional qualifications</w:t>
            </w:r>
          </w:p>
          <w:p w14:paraId="4E892558" w14:textId="1F96FE3B" w:rsidR="003B6307" w:rsidRPr="00351818" w:rsidRDefault="00533C7F" w:rsidP="00C24AEB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Detailed knowledge of full end to end software development lifecycle (SDLC)</w:t>
            </w:r>
          </w:p>
          <w:p w14:paraId="0993D58D" w14:textId="1F3FDF0E" w:rsidR="00A85643" w:rsidRPr="002C5A60" w:rsidRDefault="00C24AEB" w:rsidP="00C24AEB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knowledge of Microsoft SharePoint</w:t>
            </w:r>
          </w:p>
          <w:p w14:paraId="3F9C1BE1" w14:textId="4AE795E8" w:rsidR="00A85643" w:rsidRPr="00A85643" w:rsidRDefault="00A85643" w:rsidP="00C24AE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8F4809" w14:textId="77777777" w:rsidR="00533C7F" w:rsidRDefault="00533C7F" w:rsidP="00C24AEB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951290">
              <w:rPr>
                <w:rFonts w:ascii="Arial" w:eastAsia="Calibri" w:hAnsi="Arial" w:cs="Arial"/>
                <w:sz w:val="20"/>
                <w:szCs w:val="20"/>
              </w:rPr>
              <w:t>Clear, effective and influential communication skills, both verbal and written</w:t>
            </w:r>
            <w:r w:rsidRPr="003518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B09539D" w14:textId="0279949A" w:rsidR="00533C7F" w:rsidRPr="00533C7F" w:rsidRDefault="00533C7F" w:rsidP="00C24AEB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351818">
              <w:rPr>
                <w:rFonts w:ascii="Arial" w:eastAsia="Calibri" w:hAnsi="Arial" w:cs="Arial"/>
                <w:sz w:val="20"/>
                <w:szCs w:val="20"/>
              </w:rPr>
              <w:t>A ‘can do’ attitude, with a commitment to quality in all aspects of work. </w:t>
            </w:r>
          </w:p>
          <w:p w14:paraId="596ABFA5" w14:textId="0471C688" w:rsidR="00533C7F" w:rsidRDefault="00533C7F" w:rsidP="00C24AE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51290">
              <w:rPr>
                <w:rFonts w:ascii="Arial" w:eastAsia="Calibri" w:hAnsi="Arial" w:cs="Arial"/>
                <w:sz w:val="20"/>
                <w:szCs w:val="20"/>
              </w:rPr>
              <w:t>Innovative, flexible self-starter with excellent analytical skills</w:t>
            </w:r>
          </w:p>
          <w:p w14:paraId="1BDA0C8D" w14:textId="489EDC55" w:rsidR="00C11195" w:rsidRPr="00951290" w:rsidRDefault="00C11195" w:rsidP="00C24AE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 passion for keeping pace with the latest innovations within </w:t>
            </w:r>
            <w:r w:rsidR="002D3A68">
              <w:rPr>
                <w:rFonts w:ascii="Arial" w:eastAsia="Calibri" w:hAnsi="Arial" w:cs="Arial"/>
                <w:sz w:val="20"/>
                <w:szCs w:val="20"/>
              </w:rPr>
              <w:t>MS SharePoint</w:t>
            </w:r>
          </w:p>
          <w:p w14:paraId="6F470BE8" w14:textId="77777777" w:rsidR="00533C7F" w:rsidRPr="00951290" w:rsidRDefault="00533C7F" w:rsidP="00C24AE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51290">
              <w:rPr>
                <w:rFonts w:ascii="Arial" w:eastAsia="Calibri" w:hAnsi="Arial" w:cs="Arial"/>
                <w:sz w:val="20"/>
                <w:szCs w:val="20"/>
              </w:rPr>
              <w:t>Skilled facilitator</w:t>
            </w:r>
          </w:p>
          <w:p w14:paraId="13A0C3DC" w14:textId="5EFB6ED9" w:rsidR="00533C7F" w:rsidRDefault="00533C7F" w:rsidP="00C24AE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51290">
              <w:rPr>
                <w:rFonts w:ascii="Arial" w:eastAsia="Calibri" w:hAnsi="Arial" w:cs="Arial"/>
                <w:sz w:val="20"/>
                <w:szCs w:val="20"/>
              </w:rPr>
              <w:t>Courage to challenge</w:t>
            </w:r>
          </w:p>
          <w:p w14:paraId="6ED85664" w14:textId="5CE87BC7" w:rsidR="00343859" w:rsidRPr="00951290" w:rsidRDefault="00343859" w:rsidP="00C24AE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create a culture of learning and transparency</w:t>
            </w:r>
          </w:p>
          <w:p w14:paraId="19869D13" w14:textId="77777777" w:rsidR="00533C7F" w:rsidRPr="00951290" w:rsidRDefault="00533C7F" w:rsidP="00C24AE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51290">
              <w:rPr>
                <w:rFonts w:ascii="Arial" w:eastAsia="Calibri" w:hAnsi="Arial" w:cs="Arial"/>
                <w:sz w:val="20"/>
                <w:szCs w:val="20"/>
              </w:rPr>
              <w:t>Proactive personality and able to work autonomously</w:t>
            </w:r>
          </w:p>
          <w:p w14:paraId="5C44A6AF" w14:textId="11777A54" w:rsidR="00533C7F" w:rsidRPr="00951290" w:rsidRDefault="00343859" w:rsidP="00C24AE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the ability to remove blockers</w:t>
            </w:r>
          </w:p>
          <w:p w14:paraId="288529C3" w14:textId="415A0570" w:rsidR="00335E12" w:rsidRPr="00C11195" w:rsidRDefault="00533C7F" w:rsidP="005F23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290">
              <w:rPr>
                <w:rFonts w:ascii="Arial" w:hAnsi="Arial" w:cs="Arial"/>
                <w:sz w:val="20"/>
                <w:szCs w:val="20"/>
              </w:rPr>
              <w:t>Excellent organisational and planning skills, with an ability to priorities key tasks and strong focus on delivering them</w:t>
            </w:r>
            <w:bookmarkStart w:id="0" w:name="_GoBack"/>
            <w:bookmarkEnd w:id="0"/>
          </w:p>
        </w:tc>
        <w:tc>
          <w:tcPr>
            <w:tcW w:w="3515" w:type="dxa"/>
          </w:tcPr>
          <w:p w14:paraId="395DC972" w14:textId="4B462309" w:rsidR="00533C7F" w:rsidRDefault="00533C7F" w:rsidP="00C24AE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C18E9">
              <w:rPr>
                <w:rFonts w:ascii="Arial" w:eastAsia="Calibri" w:hAnsi="Arial" w:cs="Arial"/>
                <w:sz w:val="20"/>
                <w:szCs w:val="20"/>
              </w:rPr>
              <w:t xml:space="preserve">Experience in </w:t>
            </w:r>
            <w:r w:rsidR="002D3A68">
              <w:rPr>
                <w:rFonts w:ascii="Arial" w:eastAsia="Calibri" w:hAnsi="Arial" w:cs="Arial"/>
                <w:sz w:val="20"/>
                <w:szCs w:val="20"/>
              </w:rPr>
              <w:t>programming in C#, ASP.NET, T-SQL</w:t>
            </w:r>
          </w:p>
          <w:p w14:paraId="5CBADE0B" w14:textId="661366DA" w:rsidR="002D3A68" w:rsidRDefault="002D3A68" w:rsidP="00C24AE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with SharePoint Designer, InfoPath, Web Parts and workflow creation</w:t>
            </w:r>
          </w:p>
          <w:p w14:paraId="115DAB04" w14:textId="74F08E88" w:rsidR="00C24AEB" w:rsidRDefault="00C24AEB" w:rsidP="00C24AE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using jQuery, Client Object Model and Service Orientated Architecture</w:t>
            </w:r>
          </w:p>
          <w:p w14:paraId="5AA25AFA" w14:textId="18981C5C" w:rsidR="00C24AEB" w:rsidRPr="002C18E9" w:rsidRDefault="00C24AEB" w:rsidP="00C24AE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At least 3 years of experience supporting SharePoint 2016 and above</w:t>
            </w:r>
          </w:p>
          <w:p w14:paraId="15F5D180" w14:textId="7ED3E9F0" w:rsidR="00335E12" w:rsidRPr="00636E9D" w:rsidRDefault="00335E12" w:rsidP="00C24AEB">
            <w:pPr>
              <w:spacing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E12" w:rsidRPr="0048291D" w14:paraId="7B740C9D" w14:textId="77777777" w:rsidTr="00C24AEB">
        <w:trPr>
          <w:cantSplit/>
          <w:trHeight w:val="848"/>
        </w:trPr>
        <w:tc>
          <w:tcPr>
            <w:tcW w:w="749" w:type="dxa"/>
            <w:shd w:val="clear" w:color="auto" w:fill="D9D9D9" w:themeFill="background1" w:themeFillShade="D9"/>
            <w:textDirection w:val="btLr"/>
          </w:tcPr>
          <w:p w14:paraId="59EB3972" w14:textId="77777777" w:rsidR="00335E12" w:rsidRPr="0048291D" w:rsidRDefault="00335E12" w:rsidP="00C24AEB">
            <w:pPr>
              <w:spacing w:beforeAutospacing="0" w:after="0" w:afterAutospacing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1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079" w:type="dxa"/>
          </w:tcPr>
          <w:p w14:paraId="68367CC8" w14:textId="66B82070" w:rsidR="002D3A68" w:rsidRDefault="002D3A68" w:rsidP="00C24AE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SharePoint certification</w:t>
            </w:r>
          </w:p>
          <w:p w14:paraId="34CCCE64" w14:textId="18CB06C6" w:rsidR="00335E12" w:rsidRPr="00533C7F" w:rsidRDefault="00533C7F" w:rsidP="00C24AE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33C7F">
              <w:rPr>
                <w:rFonts w:ascii="Arial" w:hAnsi="Arial" w:cs="Arial"/>
                <w:sz w:val="20"/>
                <w:szCs w:val="20"/>
              </w:rPr>
              <w:t xml:space="preserve">Exposure to Microsoft DevOps </w:t>
            </w:r>
          </w:p>
          <w:p w14:paraId="3016AE31" w14:textId="77777777" w:rsidR="00335E12" w:rsidRPr="00636E9D" w:rsidRDefault="00335E12" w:rsidP="00C24A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1255BCC" w14:textId="77777777" w:rsidR="00335E12" w:rsidRPr="00636E9D" w:rsidRDefault="00335E12" w:rsidP="00C24AE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F5AC7B" w14:textId="09A9A935" w:rsidR="00C11195" w:rsidRPr="00533C7F" w:rsidRDefault="00C24AEB" w:rsidP="00C24AE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alongside remote teams</w:t>
            </w:r>
          </w:p>
          <w:p w14:paraId="419DA5EA" w14:textId="77777777" w:rsidR="00335E12" w:rsidRPr="00636E9D" w:rsidRDefault="00335E12" w:rsidP="00C24A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14:paraId="64EB3339" w14:textId="77777777" w:rsidR="00335E12" w:rsidRDefault="00C24AEB" w:rsidP="00C24AE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supporting SharePoint Online implementations</w:t>
            </w:r>
          </w:p>
          <w:p w14:paraId="1BCBFB4A" w14:textId="4BEC37E0" w:rsidR="00C24AEB" w:rsidRPr="00636E9D" w:rsidRDefault="00C24AEB" w:rsidP="00C24AE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SharePoint migrations to more recent versions</w:t>
            </w:r>
          </w:p>
        </w:tc>
      </w:tr>
    </w:tbl>
    <w:p w14:paraId="2E14CEDC" w14:textId="77777777" w:rsidR="0056188D" w:rsidRPr="0048291D" w:rsidRDefault="0056188D" w:rsidP="0034385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6188D" w:rsidRPr="0048291D" w:rsidSect="003B18A6">
      <w:headerReference w:type="default" r:id="rId8"/>
      <w:footerReference w:type="default" r:id="rId9"/>
      <w:pgSz w:w="11909" w:h="16834" w:code="9"/>
      <w:pgMar w:top="1440" w:right="1800" w:bottom="426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C094" w14:textId="77777777" w:rsidR="00B91B8C" w:rsidRDefault="00B91B8C" w:rsidP="009E22D0">
      <w:pPr>
        <w:spacing w:after="0" w:line="240" w:lineRule="auto"/>
      </w:pPr>
      <w:r>
        <w:separator/>
      </w:r>
    </w:p>
  </w:endnote>
  <w:endnote w:type="continuationSeparator" w:id="0">
    <w:p w14:paraId="5E2F465E" w14:textId="77777777" w:rsidR="00B91B8C" w:rsidRDefault="00B91B8C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79A2" w14:textId="20AD6C07" w:rsidR="009638A0" w:rsidRPr="00AD458B" w:rsidRDefault="009638A0" w:rsidP="009638A0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bookmarkStart w:id="1" w:name="_Hlk21436397"/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C24AEB">
      <w:rPr>
        <w:rFonts w:ascii="Arial" w:eastAsiaTheme="minorHAnsi" w:hAnsi="Arial" w:cs="Arial"/>
        <w:sz w:val="16"/>
        <w:lang w:eastAsia="en-US"/>
      </w:rPr>
      <w:t>July</w:t>
    </w:r>
    <w:r w:rsidR="00A85643">
      <w:rPr>
        <w:rFonts w:ascii="Arial" w:eastAsiaTheme="minorHAnsi" w:hAnsi="Arial" w:cs="Arial"/>
        <w:sz w:val="16"/>
        <w:lang w:eastAsia="en-US"/>
      </w:rPr>
      <w:t xml:space="preserve"> 2020</w:t>
    </w:r>
  </w:p>
  <w:p w14:paraId="05592401" w14:textId="77777777" w:rsidR="009638A0" w:rsidRPr="00AD458B" w:rsidRDefault="009638A0" w:rsidP="009638A0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47C70045" w14:textId="00157B79" w:rsidR="009638A0" w:rsidRDefault="009638A0" w:rsidP="009638A0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 xml:space="preserve">f next review:     </w:t>
    </w:r>
    <w:bookmarkEnd w:id="1"/>
    <w:r w:rsidR="00C24AEB">
      <w:rPr>
        <w:rFonts w:ascii="Arial" w:eastAsiaTheme="minorHAnsi" w:hAnsi="Arial" w:cs="Arial"/>
        <w:sz w:val="16"/>
        <w:lang w:eastAsia="en-US"/>
      </w:rPr>
      <w:t>July</w:t>
    </w:r>
    <w:r w:rsidR="00A85643">
      <w:rPr>
        <w:rFonts w:ascii="Arial" w:eastAsiaTheme="minorHAnsi" w:hAnsi="Arial" w:cs="Arial"/>
        <w:sz w:val="16"/>
        <w:lang w:eastAsia="en-US"/>
      </w:rPr>
      <w:t xml:space="preserve"> 2021</w:t>
    </w:r>
  </w:p>
  <w:p w14:paraId="386242F7" w14:textId="77777777" w:rsidR="009638A0" w:rsidRDefault="009638A0">
    <w:pPr>
      <w:pStyle w:val="Footer"/>
    </w:pPr>
  </w:p>
  <w:p w14:paraId="2CAFC6C9" w14:textId="77777777" w:rsidR="009638A0" w:rsidRDefault="0096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9015" w14:textId="77777777" w:rsidR="00B91B8C" w:rsidRDefault="00B91B8C" w:rsidP="009E22D0">
      <w:pPr>
        <w:spacing w:after="0" w:line="240" w:lineRule="auto"/>
      </w:pPr>
      <w:r>
        <w:separator/>
      </w:r>
    </w:p>
  </w:footnote>
  <w:footnote w:type="continuationSeparator" w:id="0">
    <w:p w14:paraId="229586AF" w14:textId="77777777" w:rsidR="00B91B8C" w:rsidRDefault="00B91B8C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F180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3896541C" wp14:editId="7A25782E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7017"/>
    <w:multiLevelType w:val="hybridMultilevel"/>
    <w:tmpl w:val="C15C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4AB2"/>
    <w:multiLevelType w:val="hybridMultilevel"/>
    <w:tmpl w:val="223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2702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B87"/>
    <w:multiLevelType w:val="hybridMultilevel"/>
    <w:tmpl w:val="6DDAD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E0219"/>
    <w:multiLevelType w:val="hybridMultilevel"/>
    <w:tmpl w:val="4B36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787"/>
    <w:multiLevelType w:val="hybridMultilevel"/>
    <w:tmpl w:val="1C38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7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4393"/>
    <w:multiLevelType w:val="hybridMultilevel"/>
    <w:tmpl w:val="40A4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148EF"/>
    <w:multiLevelType w:val="hybridMultilevel"/>
    <w:tmpl w:val="7904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92E02"/>
    <w:multiLevelType w:val="hybridMultilevel"/>
    <w:tmpl w:val="82381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5831FC"/>
    <w:multiLevelType w:val="hybridMultilevel"/>
    <w:tmpl w:val="D7D80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26362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D033C5"/>
    <w:multiLevelType w:val="hybridMultilevel"/>
    <w:tmpl w:val="5C906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1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6192"/>
    <w:rsid w:val="0002756D"/>
    <w:rsid w:val="0004511D"/>
    <w:rsid w:val="00082F60"/>
    <w:rsid w:val="000A4512"/>
    <w:rsid w:val="000B4BDC"/>
    <w:rsid w:val="000E4361"/>
    <w:rsid w:val="00172DBD"/>
    <w:rsid w:val="00192EA1"/>
    <w:rsid w:val="001A3A06"/>
    <w:rsid w:val="001E2352"/>
    <w:rsid w:val="002103B8"/>
    <w:rsid w:val="00285AD9"/>
    <w:rsid w:val="002B557F"/>
    <w:rsid w:val="002D1B4A"/>
    <w:rsid w:val="002D3A68"/>
    <w:rsid w:val="002D4842"/>
    <w:rsid w:val="002D7ABB"/>
    <w:rsid w:val="0030394B"/>
    <w:rsid w:val="00335E12"/>
    <w:rsid w:val="00343859"/>
    <w:rsid w:val="00370A56"/>
    <w:rsid w:val="003957DA"/>
    <w:rsid w:val="003A6245"/>
    <w:rsid w:val="003B18A6"/>
    <w:rsid w:val="003B6307"/>
    <w:rsid w:val="00414056"/>
    <w:rsid w:val="004360F1"/>
    <w:rsid w:val="00440042"/>
    <w:rsid w:val="00450C66"/>
    <w:rsid w:val="0048291D"/>
    <w:rsid w:val="004C4471"/>
    <w:rsid w:val="004D18E8"/>
    <w:rsid w:val="00524E3A"/>
    <w:rsid w:val="00532148"/>
    <w:rsid w:val="00533C7F"/>
    <w:rsid w:val="005542D1"/>
    <w:rsid w:val="0056188D"/>
    <w:rsid w:val="00574E9C"/>
    <w:rsid w:val="005A12DB"/>
    <w:rsid w:val="005B4072"/>
    <w:rsid w:val="005F03EE"/>
    <w:rsid w:val="005F2382"/>
    <w:rsid w:val="005F45C8"/>
    <w:rsid w:val="006219B1"/>
    <w:rsid w:val="00644BB2"/>
    <w:rsid w:val="00650178"/>
    <w:rsid w:val="00666EB3"/>
    <w:rsid w:val="00675726"/>
    <w:rsid w:val="0068674E"/>
    <w:rsid w:val="00711E46"/>
    <w:rsid w:val="00717094"/>
    <w:rsid w:val="007256F2"/>
    <w:rsid w:val="00760047"/>
    <w:rsid w:val="007A08F5"/>
    <w:rsid w:val="007B17CC"/>
    <w:rsid w:val="007B53A7"/>
    <w:rsid w:val="007E7CA1"/>
    <w:rsid w:val="00813AEB"/>
    <w:rsid w:val="008234E4"/>
    <w:rsid w:val="0084439F"/>
    <w:rsid w:val="0085431F"/>
    <w:rsid w:val="008613EC"/>
    <w:rsid w:val="00867E88"/>
    <w:rsid w:val="008C3A77"/>
    <w:rsid w:val="0096142B"/>
    <w:rsid w:val="009638A0"/>
    <w:rsid w:val="009A2500"/>
    <w:rsid w:val="009E22D0"/>
    <w:rsid w:val="00A4414A"/>
    <w:rsid w:val="00A85643"/>
    <w:rsid w:val="00AC3A90"/>
    <w:rsid w:val="00AD141F"/>
    <w:rsid w:val="00AD34A1"/>
    <w:rsid w:val="00AE2328"/>
    <w:rsid w:val="00B22A1E"/>
    <w:rsid w:val="00B42AB1"/>
    <w:rsid w:val="00B44996"/>
    <w:rsid w:val="00B462CA"/>
    <w:rsid w:val="00B75089"/>
    <w:rsid w:val="00B85277"/>
    <w:rsid w:val="00B91B8C"/>
    <w:rsid w:val="00BF16ED"/>
    <w:rsid w:val="00C11195"/>
    <w:rsid w:val="00C1513B"/>
    <w:rsid w:val="00C24AEB"/>
    <w:rsid w:val="00C33B2B"/>
    <w:rsid w:val="00C63C17"/>
    <w:rsid w:val="00C77C86"/>
    <w:rsid w:val="00C81660"/>
    <w:rsid w:val="00C91CFA"/>
    <w:rsid w:val="00CC0F3E"/>
    <w:rsid w:val="00CC3784"/>
    <w:rsid w:val="00CC3C99"/>
    <w:rsid w:val="00D06E62"/>
    <w:rsid w:val="00D1458C"/>
    <w:rsid w:val="00D17BB8"/>
    <w:rsid w:val="00DC593B"/>
    <w:rsid w:val="00DF076D"/>
    <w:rsid w:val="00DF3527"/>
    <w:rsid w:val="00E30F52"/>
    <w:rsid w:val="00E3426E"/>
    <w:rsid w:val="00E40AC5"/>
    <w:rsid w:val="00E43E87"/>
    <w:rsid w:val="00E84620"/>
    <w:rsid w:val="00EA187A"/>
    <w:rsid w:val="00F11569"/>
    <w:rsid w:val="00F24093"/>
    <w:rsid w:val="00F26018"/>
    <w:rsid w:val="00F368E9"/>
    <w:rsid w:val="00F5319A"/>
    <w:rsid w:val="00FB4711"/>
    <w:rsid w:val="00FE2040"/>
    <w:rsid w:val="00FF16B8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6A4CFF"/>
  <w15:docId w15:val="{623AC03C-EB8B-4F73-A430-D746173A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8A6"/>
    <w:rPr>
      <w:rFonts w:ascii="Calibri" w:hAnsi="Calibri"/>
      <w:sz w:val="22"/>
      <w:szCs w:val="22"/>
    </w:rPr>
  </w:style>
  <w:style w:type="paragraph" w:customStyle="1" w:styleId="paragraph">
    <w:name w:val="paragraph"/>
    <w:basedOn w:val="Normal"/>
    <w:rsid w:val="00335E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3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C17"/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650178"/>
    <w:rPr>
      <w:b/>
      <w:bCs/>
    </w:rPr>
  </w:style>
  <w:style w:type="paragraph" w:customStyle="1" w:styleId="SingleBullet">
    <w:name w:val="Single Bullet"/>
    <w:basedOn w:val="Normal"/>
    <w:next w:val="Normal"/>
    <w:rsid w:val="00EA187A"/>
    <w:pPr>
      <w:numPr>
        <w:numId w:val="6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A56"/>
    <w:rPr>
      <w:rFonts w:ascii="Calibri" w:hAnsi="Calibri"/>
      <w:b/>
      <w:bCs/>
    </w:rPr>
  </w:style>
  <w:style w:type="character" w:customStyle="1" w:styleId="normaltextrun">
    <w:name w:val="normaltextrun"/>
    <w:basedOn w:val="DefaultParagraphFont"/>
    <w:rsid w:val="0068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7C19849F-331D-44A4-9EDF-7834FA3741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1A4F9CBC.dotm</Template>
  <TotalTime>36</TotalTime>
  <Pages>3</Pages>
  <Words>951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Bullough, Kelly</dc:creator>
  <dc:description>MPS Internal Only</dc:description>
  <cp:lastModifiedBy>High, Stephen</cp:lastModifiedBy>
  <cp:revision>3</cp:revision>
  <dcterms:created xsi:type="dcterms:W3CDTF">2020-07-02T08:28:00Z</dcterms:created>
  <dcterms:modified xsi:type="dcterms:W3CDTF">2020-07-02T09:03:00Z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355013b6-29c6-4106-beb3-06b9dee73ff0</vt:lpwstr>
  </property>
  <property fmtid="{D5CDD505-2E9C-101B-9397-08002B2CF9AE}" pid="3" name="bjSaver">
    <vt:lpwstr>1HrL0TWGjuBmcUBuCQ3QtC3dBp+e4Sht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