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2977"/>
        <w:gridCol w:w="2126"/>
        <w:gridCol w:w="3827"/>
      </w:tblGrid>
      <w:tr w:rsidR="00F5319A" w:rsidRPr="0073133A" w14:paraId="153751E0" w14:textId="77777777" w:rsidTr="0C51C54C">
        <w:trPr>
          <w:trHeight w:val="265"/>
        </w:trPr>
        <w:tc>
          <w:tcPr>
            <w:tcW w:w="1843" w:type="dxa"/>
            <w:shd w:val="clear" w:color="auto" w:fill="D9D9D9" w:themeFill="background1" w:themeFillShade="D9"/>
          </w:tcPr>
          <w:p w14:paraId="2B8C6BBA" w14:textId="77777777" w:rsidR="00F5319A" w:rsidRPr="0073133A" w:rsidRDefault="00F5319A" w:rsidP="003F2C75">
            <w:pPr>
              <w:pStyle w:val="Header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33A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977" w:type="dxa"/>
          </w:tcPr>
          <w:p w14:paraId="450D8E25" w14:textId="3C7979F9" w:rsidR="00F5319A" w:rsidRPr="0073133A" w:rsidRDefault="00E82D00" w:rsidP="003F2C7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Services</w:t>
            </w:r>
            <w:r w:rsidR="004A2CD0">
              <w:rPr>
                <w:rFonts w:ascii="Arial" w:hAnsi="Arial" w:cs="Arial"/>
                <w:sz w:val="20"/>
                <w:szCs w:val="20"/>
              </w:rPr>
              <w:t xml:space="preserve"> Lead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4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412F789" w14:textId="77777777" w:rsidR="00F5319A" w:rsidRPr="0073133A" w:rsidRDefault="00F5319A" w:rsidP="003F2C75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33A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827" w:type="dxa"/>
          </w:tcPr>
          <w:p w14:paraId="56AF114B" w14:textId="1C0FBABF" w:rsidR="00F5319A" w:rsidRPr="0073133A" w:rsidRDefault="004A2CD0" w:rsidP="003F2C7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Corporate Services </w:t>
            </w:r>
          </w:p>
        </w:tc>
      </w:tr>
      <w:tr w:rsidR="00F5319A" w:rsidRPr="0073133A" w14:paraId="7DFA3C3A" w14:textId="77777777" w:rsidTr="0C51C54C">
        <w:trPr>
          <w:trHeight w:val="278"/>
        </w:trPr>
        <w:tc>
          <w:tcPr>
            <w:tcW w:w="1843" w:type="dxa"/>
            <w:shd w:val="clear" w:color="auto" w:fill="D9D9D9" w:themeFill="background1" w:themeFillShade="D9"/>
          </w:tcPr>
          <w:p w14:paraId="064CB9DF" w14:textId="77777777" w:rsidR="00F5319A" w:rsidRPr="0073133A" w:rsidRDefault="00F5319A" w:rsidP="003F2C75">
            <w:pPr>
              <w:pStyle w:val="Header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33A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977" w:type="dxa"/>
          </w:tcPr>
          <w:p w14:paraId="48835C07" w14:textId="33A326A5" w:rsidR="00F5319A" w:rsidRPr="0073133A" w:rsidRDefault="0036060B" w:rsidP="003F2C7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  <w:r w:rsidR="00E82D00">
              <w:rPr>
                <w:rFonts w:ascii="Arial" w:hAnsi="Arial" w:cs="Arial"/>
                <w:sz w:val="20"/>
                <w:szCs w:val="20"/>
              </w:rPr>
              <w:t xml:space="preserve">, Strategic Planning and Corporate Services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26E6556" w14:textId="77777777" w:rsidR="00F5319A" w:rsidRPr="0073133A" w:rsidRDefault="0084512A" w:rsidP="003F2C75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10328A8F" w14:textId="266E35EB" w:rsidR="00F5319A" w:rsidRPr="0073133A" w:rsidRDefault="00E82D00" w:rsidP="003F2C7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Services </w:t>
            </w:r>
            <w:r w:rsidR="00845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73133A" w14:paraId="6993BFCF" w14:textId="77777777" w:rsidTr="0C51C54C">
        <w:trPr>
          <w:trHeight w:val="265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03E58AB0" w14:textId="77777777" w:rsidR="00F5319A" w:rsidRPr="0073133A" w:rsidRDefault="00F5319A" w:rsidP="003F2C75">
            <w:pPr>
              <w:pStyle w:val="Header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33A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977" w:type="dxa"/>
            <w:vMerge w:val="restart"/>
          </w:tcPr>
          <w:p w14:paraId="1806411B" w14:textId="0648DD6F" w:rsidR="00F5319A" w:rsidRDefault="000E083D" w:rsidP="003F2C7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Approx.</w:t>
            </w:r>
            <w:r w:rsidR="004A2CD0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E82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>
              <w:rPr>
                <w:rFonts w:ascii="Arial" w:hAnsi="Arial" w:cs="Arial"/>
                <w:sz w:val="20"/>
                <w:szCs w:val="20"/>
              </w:rPr>
              <w:t>direct reports</w:t>
            </w:r>
          </w:p>
          <w:p w14:paraId="488B77B1" w14:textId="7B8C217C" w:rsidR="00F5319A" w:rsidRPr="0073133A" w:rsidRDefault="49649EA1" w:rsidP="00280174">
            <w:pPr>
              <w:pStyle w:val="Header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C51C54C">
              <w:rPr>
                <w:rFonts w:ascii="Arial" w:hAnsi="Arial" w:cs="Arial"/>
                <w:sz w:val="20"/>
                <w:szCs w:val="20"/>
              </w:rPr>
              <w:t>6</w:t>
            </w:r>
            <w:r w:rsidR="2832DF18" w:rsidRPr="0C51C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C51C54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3B8E68FC" w:rsidRPr="0C51C54C">
              <w:rPr>
                <w:rFonts w:ascii="Arial" w:hAnsi="Arial" w:cs="Arial"/>
                <w:sz w:val="20"/>
                <w:szCs w:val="20"/>
              </w:rPr>
              <w:t>Corporate Services</w:t>
            </w:r>
            <w:r w:rsidR="5E398690" w:rsidRPr="0C51C54C">
              <w:rPr>
                <w:rFonts w:ascii="Arial" w:hAnsi="Arial" w:cs="Arial"/>
                <w:sz w:val="20"/>
                <w:szCs w:val="20"/>
              </w:rPr>
              <w:t xml:space="preserve"> Team Leaders </w:t>
            </w:r>
            <w:r w:rsidR="00E806A1" w:rsidRPr="0C51C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7BA51C" w14:textId="77777777" w:rsidR="00F5319A" w:rsidRPr="0073133A" w:rsidRDefault="00F5319A" w:rsidP="003F2C75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33A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827" w:type="dxa"/>
          </w:tcPr>
          <w:p w14:paraId="0779E004" w14:textId="21435427" w:rsidR="00F5319A" w:rsidRPr="0073133A" w:rsidRDefault="00886005" w:rsidP="003F2C75">
            <w:pPr>
              <w:pStyle w:val="Header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4A2CD0">
              <w:rPr>
                <w:rFonts w:ascii="Arial" w:hAnsi="Arial" w:cs="Arial"/>
                <w:sz w:val="20"/>
                <w:szCs w:val="20"/>
              </w:rPr>
              <w:t xml:space="preserve">MPS </w:t>
            </w:r>
            <w:r w:rsidR="00E82D00">
              <w:rPr>
                <w:rFonts w:ascii="Arial" w:hAnsi="Arial" w:cs="Arial"/>
                <w:sz w:val="20"/>
                <w:szCs w:val="20"/>
              </w:rPr>
              <w:t>Co</w:t>
            </w:r>
            <w:r w:rsidR="001D2DB3">
              <w:rPr>
                <w:rFonts w:ascii="Arial" w:hAnsi="Arial" w:cs="Arial"/>
                <w:sz w:val="20"/>
                <w:szCs w:val="20"/>
              </w:rPr>
              <w:t>r</w:t>
            </w:r>
            <w:r w:rsidR="00E82D00">
              <w:rPr>
                <w:rFonts w:ascii="Arial" w:hAnsi="Arial" w:cs="Arial"/>
                <w:sz w:val="20"/>
                <w:szCs w:val="20"/>
              </w:rPr>
              <w:t xml:space="preserve">porate </w:t>
            </w:r>
            <w:r w:rsidR="00D51501">
              <w:rPr>
                <w:rFonts w:ascii="Arial" w:hAnsi="Arial" w:cs="Arial"/>
                <w:sz w:val="20"/>
                <w:szCs w:val="20"/>
              </w:rPr>
              <w:t>S</w:t>
            </w:r>
            <w:r w:rsidR="00E82D00">
              <w:rPr>
                <w:rFonts w:ascii="Arial" w:hAnsi="Arial" w:cs="Arial"/>
                <w:sz w:val="20"/>
                <w:szCs w:val="20"/>
              </w:rPr>
              <w:t>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activity globally.</w:t>
            </w:r>
          </w:p>
        </w:tc>
      </w:tr>
      <w:tr w:rsidR="00F5319A" w:rsidRPr="0073133A" w14:paraId="0DD9078E" w14:textId="77777777" w:rsidTr="0C51C54C">
        <w:trPr>
          <w:trHeight w:val="350"/>
        </w:trPr>
        <w:tc>
          <w:tcPr>
            <w:tcW w:w="1843" w:type="dxa"/>
            <w:vMerge/>
          </w:tcPr>
          <w:p w14:paraId="6432578A" w14:textId="77777777" w:rsidR="00F5319A" w:rsidRPr="0073133A" w:rsidRDefault="00F5319A" w:rsidP="003F2C75">
            <w:pPr>
              <w:pStyle w:val="Header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A55462F" w14:textId="77777777" w:rsidR="00F5319A" w:rsidRPr="0073133A" w:rsidRDefault="00F5319A" w:rsidP="003F2C7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4727F59" w14:textId="77777777" w:rsidR="00F5319A" w:rsidRPr="0073133A" w:rsidRDefault="00F5319A" w:rsidP="003F2C75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33A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827" w:type="dxa"/>
          </w:tcPr>
          <w:p w14:paraId="278C3FFE" w14:textId="3499D117" w:rsidR="00F5319A" w:rsidRPr="0073133A" w:rsidRDefault="00E82D00" w:rsidP="00F5319A">
            <w:pPr>
              <w:pStyle w:val="Header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Circa </w:t>
            </w:r>
            <w:r w:rsidR="004A2CD0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="00F16752">
              <w:rPr>
                <w:rFonts w:ascii="Arial" w:hAnsi="Arial" w:cs="Arial"/>
                <w:sz w:val="20"/>
                <w:szCs w:val="20"/>
              </w:rPr>
              <w:t>People (FTE)</w:t>
            </w:r>
          </w:p>
          <w:p w14:paraId="1FD3726A" w14:textId="7A32981F" w:rsidR="00F5319A" w:rsidRPr="0073133A" w:rsidRDefault="2832DF18" w:rsidP="0C51C54C">
            <w:pPr>
              <w:pStyle w:val="Header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C51C54C">
              <w:rPr>
                <w:rFonts w:ascii="Arial" w:eastAsia="Arial" w:hAnsi="Arial" w:cs="Arial"/>
                <w:sz w:val="20"/>
                <w:szCs w:val="20"/>
              </w:rPr>
              <w:t>£TBC</w:t>
            </w:r>
            <w:r w:rsidR="7DAF27AB" w:rsidRPr="0C51C54C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C51C54C">
              <w:rPr>
                <w:rFonts w:ascii="Arial" w:eastAsia="Arial" w:hAnsi="Arial" w:cs="Arial"/>
                <w:sz w:val="20"/>
                <w:szCs w:val="20"/>
              </w:rPr>
              <w:t>budget</w:t>
            </w:r>
            <w:r w:rsidR="7DAF27AB" w:rsidRPr="0C51C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73133A" w14:paraId="331C9788" w14:textId="77777777" w:rsidTr="0C51C54C">
        <w:trPr>
          <w:trHeight w:val="381"/>
        </w:trPr>
        <w:tc>
          <w:tcPr>
            <w:tcW w:w="1843" w:type="dxa"/>
            <w:vMerge/>
          </w:tcPr>
          <w:p w14:paraId="5A038B28" w14:textId="77777777" w:rsidR="00F5319A" w:rsidRPr="0073133A" w:rsidRDefault="00F5319A" w:rsidP="003F2C75">
            <w:pPr>
              <w:pStyle w:val="Header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4FE5CB0" w14:textId="77777777" w:rsidR="00F5319A" w:rsidRPr="0073133A" w:rsidRDefault="00F5319A" w:rsidP="003F2C7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D36C000" w14:textId="77777777" w:rsidR="00F5319A" w:rsidRPr="0073133A" w:rsidRDefault="00F5319A" w:rsidP="003F2C75">
            <w:pPr>
              <w:pStyle w:val="Header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33A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827" w:type="dxa"/>
          </w:tcPr>
          <w:p w14:paraId="7870A7B3" w14:textId="77777777" w:rsidR="00F5319A" w:rsidRDefault="00F5319A" w:rsidP="00F5319A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DE66DB" w14:textId="77777777" w:rsidR="00F5319A" w:rsidRPr="0073133A" w:rsidRDefault="00F5319A" w:rsidP="00F5319A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E30FE4" w:rsidRPr="0073133A" w14:paraId="1B9BEFAD" w14:textId="77777777" w:rsidTr="0C51C54C">
        <w:trPr>
          <w:trHeight w:val="381"/>
        </w:trPr>
        <w:tc>
          <w:tcPr>
            <w:tcW w:w="1843" w:type="dxa"/>
            <w:shd w:val="clear" w:color="auto" w:fill="D9D9D9" w:themeFill="background1" w:themeFillShade="D9"/>
          </w:tcPr>
          <w:p w14:paraId="5E35DC4B" w14:textId="13607090" w:rsidR="00E30FE4" w:rsidRPr="0073133A" w:rsidRDefault="00E30FE4" w:rsidP="003F2C75">
            <w:pPr>
              <w:pStyle w:val="Header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977" w:type="dxa"/>
          </w:tcPr>
          <w:p w14:paraId="5350FEE3" w14:textId="2FB8371F" w:rsidR="00E30FE4" w:rsidRPr="0073133A" w:rsidRDefault="04D94C0D" w:rsidP="003F2C7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C51C54C">
              <w:rPr>
                <w:rFonts w:ascii="Arial" w:hAnsi="Arial" w:cs="Arial"/>
                <w:sz w:val="20"/>
                <w:szCs w:val="20"/>
              </w:rPr>
              <w:t>Implement 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4F3BE8" w14:textId="421D571D" w:rsidR="00E30FE4" w:rsidRPr="0073133A" w:rsidRDefault="00280174" w:rsidP="003F2C75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827" w:type="dxa"/>
          </w:tcPr>
          <w:p w14:paraId="2BBA0D46" w14:textId="12925EE7" w:rsidR="00E30FE4" w:rsidRDefault="28B7113A" w:rsidP="00F5319A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C51C5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Group Corporate Functions </w:t>
            </w:r>
          </w:p>
        </w:tc>
      </w:tr>
    </w:tbl>
    <w:p w14:paraId="6AEE0A2E" w14:textId="77777777" w:rsidR="00F5319A" w:rsidRDefault="00F531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23" w:type="dxa"/>
        <w:tblInd w:w="-1026" w:type="dxa"/>
        <w:tblLook w:val="04A0" w:firstRow="1" w:lastRow="0" w:firstColumn="1" w:lastColumn="0" w:noHBand="0" w:noVBand="1"/>
      </w:tblPr>
      <w:tblGrid>
        <w:gridCol w:w="10823"/>
      </w:tblGrid>
      <w:tr w:rsidR="009E22D0" w:rsidRPr="00C91CFA" w14:paraId="2526520F" w14:textId="77777777" w:rsidTr="0084512A">
        <w:trPr>
          <w:trHeight w:val="456"/>
        </w:trPr>
        <w:tc>
          <w:tcPr>
            <w:tcW w:w="10823" w:type="dxa"/>
            <w:shd w:val="clear" w:color="auto" w:fill="D9D9D9" w:themeFill="background1" w:themeFillShade="D9"/>
          </w:tcPr>
          <w:p w14:paraId="3CEEE4D8" w14:textId="77777777" w:rsidR="00D51501" w:rsidRDefault="00D51501" w:rsidP="00D51501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8EF05" w14:textId="16F12A42" w:rsidR="009E22D0" w:rsidRPr="00C91CFA" w:rsidRDefault="009E22D0" w:rsidP="00D51501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91CFA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gramEnd"/>
            <w:r w:rsidRPr="00C91CFA">
              <w:rPr>
                <w:rFonts w:ascii="Arial" w:hAnsi="Arial" w:cs="Arial"/>
                <w:b/>
                <w:sz w:val="20"/>
                <w:szCs w:val="20"/>
              </w:rPr>
              <w:t xml:space="preserve"> Role Purpose</w:t>
            </w:r>
          </w:p>
        </w:tc>
      </w:tr>
      <w:tr w:rsidR="009E22D0" w:rsidRPr="009E22D0" w14:paraId="4CEB0D98" w14:textId="77777777" w:rsidTr="0084512A">
        <w:trPr>
          <w:trHeight w:val="693"/>
        </w:trPr>
        <w:tc>
          <w:tcPr>
            <w:tcW w:w="10823" w:type="dxa"/>
          </w:tcPr>
          <w:p w14:paraId="4A26C89D" w14:textId="3276231E" w:rsidR="00E00AEA" w:rsidRPr="006E4BFC" w:rsidRDefault="00595B73" w:rsidP="00595B73">
            <w:pPr>
              <w:rPr>
                <w:rFonts w:ascii="Arial" w:hAnsi="Arial" w:cs="Arial"/>
                <w:sz w:val="20"/>
                <w:szCs w:val="20"/>
              </w:rPr>
            </w:pPr>
            <w:r w:rsidRPr="00595B73">
              <w:rPr>
                <w:rFonts w:ascii="Arial" w:hAnsi="Arial" w:cs="Arial"/>
                <w:sz w:val="20"/>
                <w:szCs w:val="20"/>
              </w:rPr>
              <w:t>The Corporate Services Lead will deliver a critical support and coordination role for the business, responsible for ensuring the effective co-ordination of administrative</w:t>
            </w:r>
            <w:r w:rsidR="00742E3A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="00AE6023">
              <w:rPr>
                <w:rFonts w:ascii="Arial" w:hAnsi="Arial" w:cs="Arial"/>
                <w:sz w:val="20"/>
                <w:szCs w:val="20"/>
              </w:rPr>
              <w:t>.</w:t>
            </w:r>
            <w:r w:rsidRPr="00595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CD0">
              <w:rPr>
                <w:rFonts w:ascii="Arial" w:hAnsi="Arial" w:cs="Arial"/>
                <w:sz w:val="20"/>
                <w:szCs w:val="20"/>
              </w:rPr>
              <w:t>T</w:t>
            </w:r>
            <w:r w:rsidR="00AF79F5" w:rsidRPr="006E4BFC">
              <w:rPr>
                <w:rFonts w:ascii="Arial" w:hAnsi="Arial" w:cs="Arial"/>
                <w:sz w:val="20"/>
                <w:szCs w:val="20"/>
              </w:rPr>
              <w:t>he</w:t>
            </w:r>
            <w:r w:rsidR="004702D3">
              <w:rPr>
                <w:rFonts w:ascii="Arial" w:hAnsi="Arial" w:cs="Arial"/>
                <w:sz w:val="20"/>
                <w:szCs w:val="20"/>
              </w:rPr>
              <w:t>y</w:t>
            </w:r>
            <w:r w:rsidR="00AF79F5" w:rsidRPr="006E4BFC">
              <w:rPr>
                <w:rFonts w:ascii="Arial" w:hAnsi="Arial" w:cs="Arial"/>
                <w:sz w:val="20"/>
                <w:szCs w:val="20"/>
              </w:rPr>
              <w:t xml:space="preserve"> wil</w:t>
            </w:r>
            <w:r w:rsidR="004A2CD0">
              <w:rPr>
                <w:rFonts w:ascii="Arial" w:hAnsi="Arial" w:cs="Arial"/>
                <w:sz w:val="20"/>
                <w:szCs w:val="20"/>
              </w:rPr>
              <w:t>l</w:t>
            </w:r>
            <w:r w:rsidR="00DA37B4" w:rsidRPr="00DA37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D8A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="00DA37B4" w:rsidRPr="00DA37B4">
              <w:rPr>
                <w:rFonts w:ascii="Arial" w:hAnsi="Arial" w:cs="Arial"/>
                <w:sz w:val="20"/>
                <w:szCs w:val="20"/>
              </w:rPr>
              <w:t xml:space="preserve">develop and implement </w:t>
            </w:r>
            <w:r w:rsidR="00AF79F5" w:rsidRPr="006E4BFC">
              <w:rPr>
                <w:rFonts w:ascii="Arial" w:hAnsi="Arial" w:cs="Arial"/>
                <w:sz w:val="20"/>
                <w:szCs w:val="20"/>
              </w:rPr>
              <w:t xml:space="preserve">a sustainable and adaptable </w:t>
            </w:r>
            <w:r w:rsidR="00A01EF5">
              <w:rPr>
                <w:rFonts w:ascii="Arial" w:hAnsi="Arial" w:cs="Arial"/>
                <w:sz w:val="20"/>
                <w:szCs w:val="20"/>
              </w:rPr>
              <w:t>corpo</w:t>
            </w:r>
            <w:r w:rsidR="006747AA">
              <w:rPr>
                <w:rFonts w:ascii="Arial" w:hAnsi="Arial" w:cs="Arial"/>
                <w:sz w:val="20"/>
                <w:szCs w:val="20"/>
              </w:rPr>
              <w:t>r</w:t>
            </w:r>
            <w:r w:rsidR="00A01EF5">
              <w:rPr>
                <w:rFonts w:ascii="Arial" w:hAnsi="Arial" w:cs="Arial"/>
                <w:sz w:val="20"/>
                <w:szCs w:val="20"/>
              </w:rPr>
              <w:t>ate service</w:t>
            </w:r>
            <w:r w:rsidR="00716D8A">
              <w:rPr>
                <w:rFonts w:ascii="Arial" w:hAnsi="Arial" w:cs="Arial"/>
                <w:sz w:val="20"/>
                <w:szCs w:val="20"/>
              </w:rPr>
              <w:t>s</w:t>
            </w:r>
            <w:r w:rsidR="00A01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00E">
              <w:rPr>
                <w:rFonts w:ascii="Arial" w:hAnsi="Arial" w:cs="Arial"/>
                <w:sz w:val="20"/>
                <w:szCs w:val="20"/>
              </w:rPr>
              <w:t>team</w:t>
            </w:r>
            <w:r w:rsidR="00AF79F5" w:rsidRPr="006E4BFC">
              <w:rPr>
                <w:rFonts w:ascii="Arial" w:hAnsi="Arial" w:cs="Arial"/>
                <w:sz w:val="20"/>
                <w:szCs w:val="20"/>
              </w:rPr>
              <w:t xml:space="preserve"> across MPS</w:t>
            </w:r>
            <w:r w:rsidR="007C63F3">
              <w:rPr>
                <w:rFonts w:ascii="Arial" w:hAnsi="Arial" w:cs="Arial"/>
                <w:sz w:val="20"/>
                <w:szCs w:val="20"/>
              </w:rPr>
              <w:t xml:space="preserve"> (globally)</w:t>
            </w:r>
            <w:r w:rsidR="00AF79F5" w:rsidRPr="006E4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BFC" w:rsidRPr="006E4BFC">
              <w:rPr>
                <w:rFonts w:ascii="Arial" w:hAnsi="Arial" w:cs="Arial"/>
                <w:sz w:val="20"/>
                <w:szCs w:val="20"/>
              </w:rPr>
              <w:t xml:space="preserve">that delivers compliance, continuous </w:t>
            </w:r>
            <w:r w:rsidR="001D2DB3" w:rsidRPr="006E4BFC">
              <w:rPr>
                <w:rFonts w:ascii="Arial" w:hAnsi="Arial" w:cs="Arial"/>
                <w:sz w:val="20"/>
                <w:szCs w:val="20"/>
              </w:rPr>
              <w:t>improvement,</w:t>
            </w:r>
            <w:r w:rsidR="006E4BFC" w:rsidRPr="006E4BFC">
              <w:rPr>
                <w:rFonts w:ascii="Arial" w:hAnsi="Arial" w:cs="Arial"/>
                <w:sz w:val="20"/>
                <w:szCs w:val="20"/>
              </w:rPr>
              <w:t xml:space="preserve"> and value for money</w:t>
            </w:r>
            <w:r w:rsidR="00A01E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A2CD0">
              <w:rPr>
                <w:rFonts w:ascii="Arial" w:hAnsi="Arial" w:cs="Arial"/>
                <w:sz w:val="20"/>
                <w:szCs w:val="20"/>
              </w:rPr>
              <w:t>Working alongside senior leaders in MPS</w:t>
            </w:r>
            <w:r w:rsidR="00DE0518">
              <w:rPr>
                <w:rFonts w:ascii="Arial" w:hAnsi="Arial" w:cs="Arial"/>
                <w:sz w:val="20"/>
                <w:szCs w:val="20"/>
              </w:rPr>
              <w:t>,</w:t>
            </w:r>
            <w:r w:rsidR="004A2CD0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E82D00">
              <w:rPr>
                <w:rFonts w:ascii="Arial" w:hAnsi="Arial" w:cs="Arial"/>
                <w:sz w:val="20"/>
                <w:szCs w:val="20"/>
              </w:rPr>
              <w:t xml:space="preserve">he role </w:t>
            </w:r>
            <w:r w:rsidR="004A2CD0">
              <w:rPr>
                <w:rFonts w:ascii="Arial" w:hAnsi="Arial" w:cs="Arial"/>
                <w:sz w:val="20"/>
                <w:szCs w:val="20"/>
              </w:rPr>
              <w:t>will lead this department</w:t>
            </w:r>
            <w:r w:rsidR="00E82D0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1D2DB3">
              <w:rPr>
                <w:rFonts w:ascii="Arial" w:hAnsi="Arial" w:cs="Arial"/>
                <w:sz w:val="20"/>
                <w:szCs w:val="20"/>
              </w:rPr>
              <w:t xml:space="preserve"> create a model which</w:t>
            </w:r>
            <w:r w:rsidR="00E82D00">
              <w:rPr>
                <w:rFonts w:ascii="Arial" w:hAnsi="Arial" w:cs="Arial"/>
                <w:sz w:val="20"/>
                <w:szCs w:val="20"/>
              </w:rPr>
              <w:t xml:space="preserve"> drive</w:t>
            </w:r>
            <w:r w:rsidR="004A2CD0">
              <w:rPr>
                <w:rFonts w:ascii="Arial" w:hAnsi="Arial" w:cs="Arial"/>
                <w:sz w:val="20"/>
                <w:szCs w:val="20"/>
              </w:rPr>
              <w:t>s</w:t>
            </w:r>
            <w:r w:rsidR="00E82D00">
              <w:rPr>
                <w:rFonts w:ascii="Arial" w:hAnsi="Arial" w:cs="Arial"/>
                <w:sz w:val="20"/>
                <w:szCs w:val="20"/>
              </w:rPr>
              <w:t xml:space="preserve"> operational </w:t>
            </w:r>
            <w:r w:rsidR="001D2DB3">
              <w:rPr>
                <w:rFonts w:ascii="Arial" w:hAnsi="Arial" w:cs="Arial"/>
                <w:sz w:val="20"/>
                <w:szCs w:val="20"/>
              </w:rPr>
              <w:t>efficiency</w:t>
            </w:r>
            <w:r w:rsidR="00E82D0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D2DB3">
              <w:rPr>
                <w:rFonts w:ascii="Arial" w:hAnsi="Arial" w:cs="Arial"/>
                <w:sz w:val="20"/>
                <w:szCs w:val="20"/>
              </w:rPr>
              <w:t>effectiveness</w:t>
            </w:r>
            <w:r w:rsidR="00E82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DB3">
              <w:rPr>
                <w:rFonts w:ascii="Arial" w:hAnsi="Arial" w:cs="Arial"/>
                <w:sz w:val="20"/>
                <w:szCs w:val="20"/>
              </w:rPr>
              <w:t>through leveraging technology and resource optimisation.</w:t>
            </w:r>
            <w:r w:rsidR="003C4ACD" w:rsidRPr="003C4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07562E6" w14:textId="77777777" w:rsidR="009E22D0" w:rsidRDefault="009E22D0" w:rsidP="00C7798E">
      <w:pPr>
        <w:spacing w:after="0" w:line="240" w:lineRule="auto"/>
      </w:pPr>
    </w:p>
    <w:tbl>
      <w:tblPr>
        <w:tblStyle w:val="TableGrid"/>
        <w:tblW w:w="10804" w:type="dxa"/>
        <w:tblInd w:w="-1026" w:type="dxa"/>
        <w:tblLook w:val="04A0" w:firstRow="1" w:lastRow="0" w:firstColumn="1" w:lastColumn="0" w:noHBand="0" w:noVBand="1"/>
      </w:tblPr>
      <w:tblGrid>
        <w:gridCol w:w="6663"/>
        <w:gridCol w:w="4141"/>
      </w:tblGrid>
      <w:tr w:rsidR="009E22D0" w:rsidRPr="00C91CFA" w14:paraId="5214E690" w14:textId="77777777" w:rsidTr="00460874">
        <w:trPr>
          <w:trHeight w:val="310"/>
        </w:trPr>
        <w:tc>
          <w:tcPr>
            <w:tcW w:w="6663" w:type="dxa"/>
            <w:shd w:val="clear" w:color="auto" w:fill="D9D9D9" w:themeFill="background1" w:themeFillShade="D9"/>
          </w:tcPr>
          <w:p w14:paraId="162D5795" w14:textId="77777777" w:rsidR="004566E1" w:rsidRDefault="004566E1" w:rsidP="004566E1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1B24C1" w14:textId="6485AA78" w:rsidR="009E22D0" w:rsidRPr="00C91CFA" w:rsidRDefault="009E22D0" w:rsidP="004566E1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91CFA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276C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91CFA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65F9BF0E" w14:textId="77777777" w:rsidR="004566E1" w:rsidRDefault="004566E1" w:rsidP="0095138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2237C" w14:textId="3D223FE3" w:rsidR="009E22D0" w:rsidRDefault="009E22D0" w:rsidP="0095138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91CFA">
              <w:rPr>
                <w:rFonts w:ascii="Arial" w:hAnsi="Arial" w:cs="Arial"/>
                <w:b/>
                <w:sz w:val="20"/>
                <w:szCs w:val="20"/>
              </w:rPr>
              <w:t>Measures of Success</w:t>
            </w:r>
            <w:r w:rsidRPr="00717094">
              <w:rPr>
                <w:rFonts w:ascii="Arial" w:hAnsi="Arial" w:cs="Arial"/>
                <w:b/>
                <w:sz w:val="20"/>
                <w:szCs w:val="20"/>
              </w:rPr>
              <w:t>/KPI’s</w:t>
            </w:r>
          </w:p>
          <w:p w14:paraId="0C782FDB" w14:textId="77777777" w:rsidR="00717094" w:rsidRDefault="00717094" w:rsidP="009E22D0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095EF" w14:textId="77777777" w:rsidR="009E22D0" w:rsidRPr="00C91CFA" w:rsidRDefault="009E22D0" w:rsidP="003B6AD3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14:paraId="1D001FC1" w14:textId="77777777" w:rsidTr="00460874">
        <w:trPr>
          <w:trHeight w:val="578"/>
        </w:trPr>
        <w:tc>
          <w:tcPr>
            <w:tcW w:w="6663" w:type="dxa"/>
          </w:tcPr>
          <w:p w14:paraId="06DDFC28" w14:textId="6F103C5C" w:rsidR="0056188D" w:rsidRPr="006E4DC8" w:rsidRDefault="004A2CD0" w:rsidP="0056188D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="00881EF7" w:rsidRPr="006E4DC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56188D" w:rsidRPr="006E4DC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Leadership </w:t>
            </w:r>
          </w:p>
          <w:p w14:paraId="4E09A40D" w14:textId="2764FF9A" w:rsidR="00A01EF5" w:rsidRPr="006747AA" w:rsidRDefault="00A01EF5" w:rsidP="005143F3">
            <w:pPr>
              <w:pStyle w:val="ListParagraph"/>
              <w:numPr>
                <w:ilvl w:val="0"/>
                <w:numId w:val="18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6747AA">
              <w:rPr>
                <w:rFonts w:ascii="Arial" w:hAnsi="Arial" w:cs="Arial"/>
                <w:sz w:val="20"/>
                <w:szCs w:val="20"/>
              </w:rPr>
              <w:t>Ensure</w:t>
            </w:r>
            <w:r w:rsidR="003317B9">
              <w:rPr>
                <w:rFonts w:ascii="Arial" w:hAnsi="Arial" w:cs="Arial"/>
                <w:sz w:val="20"/>
                <w:szCs w:val="20"/>
              </w:rPr>
              <w:t xml:space="preserve"> corporate service support</w:t>
            </w:r>
            <w:r w:rsidRPr="006747AA">
              <w:rPr>
                <w:rFonts w:ascii="Arial" w:hAnsi="Arial" w:cs="Arial"/>
                <w:sz w:val="20"/>
                <w:szCs w:val="20"/>
              </w:rPr>
              <w:t xml:space="preserve"> teams are appropriately resourced </w:t>
            </w:r>
            <w:proofErr w:type="gramStart"/>
            <w:r w:rsidRPr="006747AA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6747AA">
              <w:rPr>
                <w:rFonts w:ascii="Arial" w:hAnsi="Arial" w:cs="Arial"/>
                <w:sz w:val="20"/>
                <w:szCs w:val="20"/>
              </w:rPr>
              <w:t xml:space="preserve"> meet SLA's and stakeholder expectations, flexing and adapting to meet scheduled and unexpected peaks of activity</w:t>
            </w:r>
            <w:r w:rsidR="005801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38AC44" w14:textId="19387ECB" w:rsidR="00C5076C" w:rsidRDefault="00AC6785" w:rsidP="005143F3">
            <w:pPr>
              <w:pStyle w:val="ListParagraph"/>
              <w:numPr>
                <w:ilvl w:val="0"/>
                <w:numId w:val="18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="00C5076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C5076C" w:rsidRPr="008B5F2D">
              <w:rPr>
                <w:rFonts w:ascii="Arial" w:hAnsi="Arial" w:cs="Arial"/>
                <w:sz w:val="20"/>
                <w:szCs w:val="20"/>
              </w:rPr>
              <w:t xml:space="preserve">ndustry best practice and internal capability through the development of a structured </w:t>
            </w:r>
            <w:r w:rsidR="00C5076C">
              <w:rPr>
                <w:rFonts w:ascii="Arial" w:hAnsi="Arial" w:cs="Arial"/>
                <w:sz w:val="20"/>
                <w:szCs w:val="20"/>
              </w:rPr>
              <w:t xml:space="preserve">highly performing </w:t>
            </w:r>
            <w:r w:rsidR="00C5076C" w:rsidRPr="008B5F2D">
              <w:rPr>
                <w:rFonts w:ascii="Arial" w:hAnsi="Arial" w:cs="Arial"/>
                <w:sz w:val="20"/>
                <w:szCs w:val="20"/>
              </w:rPr>
              <w:t>function, building expertise and ensuring delivery of a quality service to stakeholders</w:t>
            </w:r>
            <w:r w:rsidR="005801E4">
              <w:rPr>
                <w:rFonts w:ascii="Arial" w:hAnsi="Arial" w:cs="Arial"/>
                <w:sz w:val="20"/>
                <w:szCs w:val="20"/>
              </w:rPr>
              <w:t>.</w:t>
            </w:r>
            <w:r w:rsidR="00C507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5BA711" w14:textId="024481E9" w:rsidR="00ED1955" w:rsidRDefault="00115473" w:rsidP="005143F3">
            <w:pPr>
              <w:pStyle w:val="ListParagraph"/>
              <w:numPr>
                <w:ilvl w:val="0"/>
                <w:numId w:val="18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Seek to i</w:t>
            </w:r>
            <w:r w:rsidR="00ED1955" w:rsidRPr="008D01AB">
              <w:rPr>
                <w:rFonts w:ascii="Arial" w:hAnsi="Arial" w:cs="Arial"/>
                <w:sz w:val="20"/>
                <w:szCs w:val="20"/>
              </w:rPr>
              <w:t>mprov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D1955" w:rsidRPr="008D01AB">
              <w:rPr>
                <w:rFonts w:ascii="Arial" w:hAnsi="Arial" w:cs="Arial"/>
                <w:sz w:val="20"/>
                <w:szCs w:val="20"/>
              </w:rPr>
              <w:t xml:space="preserve"> and optimis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D1955" w:rsidRPr="008D01AB">
              <w:rPr>
                <w:rFonts w:ascii="Arial" w:hAnsi="Arial" w:cs="Arial"/>
                <w:sz w:val="20"/>
                <w:szCs w:val="20"/>
              </w:rPr>
              <w:t xml:space="preserve"> existing day to day operational foundations whilst maintaining high standards of</w:t>
            </w:r>
            <w:r w:rsidR="00ED1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955" w:rsidRPr="008D01AB">
              <w:rPr>
                <w:rFonts w:ascii="Arial" w:hAnsi="Arial" w:cs="Arial"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colleagues and members</w:t>
            </w:r>
            <w:r w:rsidR="005801E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E58295" w14:textId="422E38C4" w:rsidR="009D4E93" w:rsidRDefault="009D4E93" w:rsidP="005143F3">
            <w:pPr>
              <w:pStyle w:val="ListParagraph"/>
              <w:numPr>
                <w:ilvl w:val="0"/>
                <w:numId w:val="18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D4E93">
              <w:rPr>
                <w:rFonts w:ascii="Arial" w:hAnsi="Arial" w:cs="Arial"/>
                <w:sz w:val="20"/>
                <w:szCs w:val="20"/>
              </w:rPr>
              <w:t xml:space="preserve">Compile </w:t>
            </w:r>
            <w:r>
              <w:rPr>
                <w:rFonts w:ascii="Arial" w:hAnsi="Arial" w:cs="Arial"/>
                <w:sz w:val="20"/>
                <w:szCs w:val="20"/>
              </w:rPr>
              <w:t xml:space="preserve">wider </w:t>
            </w:r>
            <w:r w:rsidRPr="009D4E93">
              <w:rPr>
                <w:rFonts w:ascii="Arial" w:hAnsi="Arial" w:cs="Arial"/>
                <w:sz w:val="20"/>
                <w:szCs w:val="20"/>
              </w:rPr>
              <w:t>business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opportunities</w:t>
            </w:r>
            <w:r w:rsidRPr="009D4E93">
              <w:rPr>
                <w:rFonts w:ascii="Arial" w:hAnsi="Arial" w:cs="Arial"/>
                <w:sz w:val="20"/>
                <w:szCs w:val="20"/>
              </w:rPr>
              <w:t xml:space="preserve"> in collaboration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9C7">
              <w:rPr>
                <w:rFonts w:ascii="Arial" w:hAnsi="Arial" w:cs="Arial"/>
                <w:sz w:val="20"/>
                <w:szCs w:val="20"/>
              </w:rPr>
              <w:t>Divisions and operational teams</w:t>
            </w:r>
            <w:r w:rsidR="005801E4">
              <w:rPr>
                <w:rFonts w:ascii="Arial" w:hAnsi="Arial" w:cs="Arial"/>
                <w:sz w:val="20"/>
                <w:szCs w:val="20"/>
              </w:rPr>
              <w:t>.</w:t>
            </w:r>
            <w:r w:rsidR="009609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A5CD5" w14:textId="77777777" w:rsidR="00AE6023" w:rsidRDefault="00B836E7" w:rsidP="00C7798E">
            <w:pPr>
              <w:pStyle w:val="ListParagraph"/>
              <w:numPr>
                <w:ilvl w:val="0"/>
                <w:numId w:val="18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B836E7">
              <w:rPr>
                <w:rFonts w:ascii="Arial" w:hAnsi="Arial" w:cs="Arial"/>
                <w:sz w:val="20"/>
                <w:szCs w:val="20"/>
              </w:rPr>
              <w:t xml:space="preserve">Closely monitor the daily operations as well as </w:t>
            </w:r>
            <w:r>
              <w:rPr>
                <w:rFonts w:ascii="Arial" w:hAnsi="Arial" w:cs="Arial"/>
                <w:sz w:val="20"/>
                <w:szCs w:val="20"/>
              </w:rPr>
              <w:t>SLA’s</w:t>
            </w:r>
            <w:r w:rsidRPr="00B836E7">
              <w:rPr>
                <w:rFonts w:ascii="Arial" w:hAnsi="Arial" w:cs="Arial"/>
                <w:sz w:val="20"/>
                <w:szCs w:val="20"/>
              </w:rPr>
              <w:t xml:space="preserve"> and conduct further investigation and analysis if needed for continuous improvement in </w:t>
            </w:r>
            <w:r w:rsidR="00E96728" w:rsidRPr="00E96728">
              <w:rPr>
                <w:rFonts w:ascii="Arial" w:hAnsi="Arial" w:cs="Arial"/>
                <w:sz w:val="20"/>
                <w:szCs w:val="20"/>
              </w:rPr>
              <w:t xml:space="preserve">systems, </w:t>
            </w:r>
            <w:r w:rsidR="00A81F4C" w:rsidRPr="00E96728">
              <w:rPr>
                <w:rFonts w:ascii="Arial" w:hAnsi="Arial" w:cs="Arial"/>
                <w:sz w:val="20"/>
                <w:szCs w:val="20"/>
              </w:rPr>
              <w:t>processes,</w:t>
            </w:r>
            <w:r w:rsidR="00E96728" w:rsidRPr="00E96728">
              <w:rPr>
                <w:rFonts w:ascii="Arial" w:hAnsi="Arial" w:cs="Arial"/>
                <w:sz w:val="20"/>
                <w:szCs w:val="20"/>
              </w:rPr>
              <w:t xml:space="preserve"> and resource management</w:t>
            </w:r>
            <w:r w:rsidR="005801E4">
              <w:rPr>
                <w:rFonts w:ascii="Arial" w:hAnsi="Arial" w:cs="Arial"/>
                <w:sz w:val="20"/>
                <w:szCs w:val="20"/>
              </w:rPr>
              <w:t>.</w:t>
            </w:r>
            <w:r w:rsidR="00E967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5C942A" w14:textId="712254C1" w:rsidR="00C7798E" w:rsidRPr="00C7798E" w:rsidRDefault="00C7798E" w:rsidP="00C7798E">
            <w:pPr>
              <w:pStyle w:val="ListParagraph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3951BCC" w14:textId="77777777" w:rsidR="00EF68A2" w:rsidRDefault="00EF68A2" w:rsidP="00EF68A2">
            <w:pPr>
              <w:pStyle w:val="ListParagraph"/>
              <w:spacing w:after="0"/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152321" w14:textId="6DB428FB" w:rsidR="001232B7" w:rsidRPr="006E4DC8" w:rsidRDefault="001232B7" w:rsidP="00CD01F0">
            <w:pPr>
              <w:pStyle w:val="ListParagraph"/>
              <w:numPr>
                <w:ilvl w:val="0"/>
                <w:numId w:val="7"/>
              </w:numPr>
              <w:spacing w:after="0"/>
              <w:ind w:left="459" w:hanging="426"/>
              <w:rPr>
                <w:rFonts w:ascii="Arial" w:eastAsia="Calibri" w:hAnsi="Arial" w:cs="Arial"/>
                <w:sz w:val="20"/>
                <w:szCs w:val="20"/>
              </w:rPr>
            </w:pPr>
            <w:r w:rsidRPr="006E4DC8">
              <w:rPr>
                <w:rFonts w:ascii="Arial" w:eastAsia="Calibri" w:hAnsi="Arial" w:cs="Arial"/>
                <w:sz w:val="20"/>
                <w:szCs w:val="20"/>
              </w:rPr>
              <w:t>Financial sustainability vs plan</w:t>
            </w:r>
          </w:p>
          <w:p w14:paraId="2FF196C2" w14:textId="77777777" w:rsidR="001232B7" w:rsidRPr="006E4DC8" w:rsidRDefault="001232B7" w:rsidP="00CD01F0">
            <w:pPr>
              <w:pStyle w:val="ListParagraph"/>
              <w:numPr>
                <w:ilvl w:val="0"/>
                <w:numId w:val="7"/>
              </w:numPr>
              <w:spacing w:after="0"/>
              <w:ind w:left="459" w:hanging="426"/>
              <w:rPr>
                <w:rFonts w:ascii="Arial" w:eastAsia="Calibri" w:hAnsi="Arial" w:cs="Arial"/>
                <w:sz w:val="20"/>
                <w:szCs w:val="20"/>
              </w:rPr>
            </w:pPr>
            <w:r w:rsidRPr="006E4DC8"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5E3140A2" w14:textId="01CA0F85" w:rsidR="000431B3" w:rsidRDefault="000431B3" w:rsidP="00CD01F0">
            <w:pPr>
              <w:pStyle w:val="ListParagraph"/>
              <w:numPr>
                <w:ilvl w:val="0"/>
                <w:numId w:val="7"/>
              </w:numPr>
              <w:spacing w:after="0"/>
              <w:ind w:left="459" w:hanging="42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Corporate Services Initiative Vs Plan </w:t>
            </w:r>
          </w:p>
          <w:p w14:paraId="2C0D377E" w14:textId="77777777" w:rsidR="005143F3" w:rsidRDefault="00C5076C" w:rsidP="005143F3">
            <w:pPr>
              <w:pStyle w:val="ListParagraph"/>
              <w:numPr>
                <w:ilvl w:val="0"/>
                <w:numId w:val="7"/>
              </w:numPr>
              <w:spacing w:after="0"/>
              <w:ind w:left="459" w:hanging="426"/>
              <w:rPr>
                <w:rFonts w:ascii="Arial" w:eastAsia="Calibri" w:hAnsi="Arial" w:cs="Arial"/>
                <w:sz w:val="20"/>
                <w:szCs w:val="20"/>
              </w:rPr>
            </w:pPr>
            <w:r w:rsidRPr="00C5076C">
              <w:rPr>
                <w:rFonts w:ascii="Arial" w:eastAsia="Calibri" w:hAnsi="Arial" w:cs="Arial"/>
                <w:sz w:val="20"/>
                <w:szCs w:val="20"/>
              </w:rPr>
              <w:t>Delivery people plans Vs Plan</w:t>
            </w:r>
          </w:p>
          <w:p w14:paraId="2F70503D" w14:textId="7037E9B2" w:rsidR="0062500E" w:rsidRPr="005143F3" w:rsidRDefault="0062500E" w:rsidP="005143F3">
            <w:pPr>
              <w:pStyle w:val="ListParagraph"/>
              <w:numPr>
                <w:ilvl w:val="0"/>
                <w:numId w:val="7"/>
              </w:numPr>
              <w:spacing w:after="0"/>
              <w:ind w:left="459" w:hanging="426"/>
              <w:rPr>
                <w:rFonts w:ascii="Arial" w:eastAsia="Calibri" w:hAnsi="Arial" w:cs="Arial"/>
                <w:sz w:val="20"/>
                <w:szCs w:val="20"/>
              </w:rPr>
            </w:pPr>
            <w:r w:rsidRPr="005143F3">
              <w:rPr>
                <w:rFonts w:ascii="Arial" w:eastAsia="Calibri" w:hAnsi="Arial" w:cs="Arial"/>
                <w:sz w:val="20"/>
                <w:szCs w:val="20"/>
              </w:rPr>
              <w:t>Internal stakeholder Feedback</w:t>
            </w:r>
          </w:p>
          <w:p w14:paraId="2B17143E" w14:textId="77777777" w:rsidR="0062500E" w:rsidRPr="00C5076C" w:rsidRDefault="0062500E" w:rsidP="0062500E">
            <w:pPr>
              <w:pStyle w:val="ListParagraph"/>
              <w:spacing w:after="0"/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0F8221" w14:textId="77777777" w:rsidR="009E22D0" w:rsidRPr="006E4DC8" w:rsidRDefault="009E22D0" w:rsidP="003B6AD3">
            <w:pPr>
              <w:pStyle w:val="ListParagraph"/>
              <w:tabs>
                <w:tab w:val="left" w:pos="921"/>
              </w:tabs>
              <w:rPr>
                <w:sz w:val="20"/>
                <w:szCs w:val="20"/>
              </w:rPr>
            </w:pPr>
          </w:p>
        </w:tc>
      </w:tr>
      <w:tr w:rsidR="009E22D0" w:rsidRPr="009E22D0" w14:paraId="68500363" w14:textId="77777777" w:rsidTr="00460874">
        <w:trPr>
          <w:trHeight w:val="578"/>
        </w:trPr>
        <w:tc>
          <w:tcPr>
            <w:tcW w:w="6663" w:type="dxa"/>
          </w:tcPr>
          <w:p w14:paraId="6CDF5076" w14:textId="77777777" w:rsidR="001A50AF" w:rsidRPr="005143F3" w:rsidRDefault="009E22D0" w:rsidP="005143F3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143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5327D5A7" w14:textId="24A598B9" w:rsidR="0062500E" w:rsidRDefault="0062500E" w:rsidP="0062500E">
            <w:pPr>
              <w:pStyle w:val="ListParagraph"/>
              <w:numPr>
                <w:ilvl w:val="0"/>
                <w:numId w:val="18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and deliver</w:t>
            </w:r>
            <w:r w:rsidRPr="00C850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Corporate Services team </w:t>
            </w:r>
            <w:r w:rsidRPr="00C8507D">
              <w:rPr>
                <w:rFonts w:ascii="Arial" w:hAnsi="Arial" w:cs="Arial"/>
                <w:sz w:val="20"/>
                <w:szCs w:val="20"/>
              </w:rPr>
              <w:t>operational budgets, ensuring an efficient and effective operating model which minimises cost and maximises financial sustaina</w:t>
            </w:r>
            <w:r>
              <w:rPr>
                <w:rFonts w:ascii="Arial" w:hAnsi="Arial" w:cs="Arial"/>
                <w:sz w:val="20"/>
                <w:szCs w:val="20"/>
              </w:rPr>
              <w:t xml:space="preserve">bility without compromising the </w:t>
            </w:r>
            <w:r w:rsidRPr="00C8507D">
              <w:rPr>
                <w:rFonts w:ascii="Arial" w:hAnsi="Arial" w:cs="Arial"/>
                <w:sz w:val="20"/>
                <w:szCs w:val="20"/>
              </w:rPr>
              <w:t>member experience</w:t>
            </w:r>
            <w:r w:rsidR="005801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67A1DA" w14:textId="4ED38BC3" w:rsidR="000431B3" w:rsidRDefault="000431B3" w:rsidP="0062500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and deliver the corporate services </w:t>
            </w:r>
            <w:r w:rsidR="001D2DB3">
              <w:rPr>
                <w:rFonts w:ascii="Arial" w:hAnsi="Arial" w:cs="Arial"/>
                <w:sz w:val="20"/>
                <w:szCs w:val="20"/>
              </w:rPr>
              <w:t>initiative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DB3">
              <w:rPr>
                <w:rFonts w:ascii="Arial" w:hAnsi="Arial" w:cs="Arial"/>
                <w:sz w:val="20"/>
                <w:szCs w:val="20"/>
              </w:rPr>
              <w:t>whilst shaping any</w:t>
            </w:r>
            <w:r>
              <w:rPr>
                <w:rFonts w:ascii="Arial" w:hAnsi="Arial" w:cs="Arial"/>
                <w:sz w:val="20"/>
                <w:szCs w:val="20"/>
              </w:rPr>
              <w:t xml:space="preserve"> future opportunities for cost savings</w:t>
            </w:r>
            <w:r w:rsidR="005801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984F44" w14:textId="4E724FAE" w:rsidR="004566E1" w:rsidRPr="00B0447E" w:rsidRDefault="004566E1" w:rsidP="004566E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333EC79" w14:textId="77777777" w:rsidR="00EF68A2" w:rsidRDefault="00EF68A2" w:rsidP="00EF68A2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B4B91BA" w14:textId="7A582943" w:rsidR="00BF2A68" w:rsidRDefault="00BF2A68" w:rsidP="0062500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Divisional operational budget vs plan</w:t>
            </w:r>
          </w:p>
          <w:p w14:paraId="199F2582" w14:textId="77777777" w:rsidR="000431B3" w:rsidRDefault="000431B3" w:rsidP="0062500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Services Ini</w:t>
            </w:r>
            <w:r w:rsidR="001D2DB3">
              <w:rPr>
                <w:rFonts w:ascii="Arial" w:hAnsi="Arial" w:cs="Arial"/>
                <w:sz w:val="20"/>
                <w:szCs w:val="20"/>
              </w:rPr>
              <w:t>tiative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vs plan </w:t>
            </w:r>
          </w:p>
          <w:p w14:paraId="096EB74F" w14:textId="77777777" w:rsidR="0062500E" w:rsidRPr="00FD6286" w:rsidRDefault="0062500E" w:rsidP="0062500E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14:paraId="3D224F7B" w14:textId="49353781" w:rsidR="0062500E" w:rsidRPr="00CD01F0" w:rsidRDefault="0062500E" w:rsidP="0062500E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9E22D0" w14:paraId="198EF632" w14:textId="77777777" w:rsidTr="00460874">
        <w:trPr>
          <w:trHeight w:val="578"/>
        </w:trPr>
        <w:tc>
          <w:tcPr>
            <w:tcW w:w="6663" w:type="dxa"/>
          </w:tcPr>
          <w:p w14:paraId="609EE7C5" w14:textId="77777777" w:rsidR="009E22D0" w:rsidRPr="005143F3" w:rsidRDefault="009E22D0" w:rsidP="005143F3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143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Member</w:t>
            </w:r>
          </w:p>
          <w:p w14:paraId="44585B7E" w14:textId="77777777" w:rsidR="00056C6F" w:rsidRPr="001A50AF" w:rsidRDefault="00E218CF" w:rsidP="005143F3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A50AF">
              <w:rPr>
                <w:rFonts w:ascii="Arial" w:hAnsi="Arial" w:cs="Arial"/>
                <w:sz w:val="20"/>
                <w:szCs w:val="20"/>
              </w:rPr>
              <w:t xml:space="preserve">Develop and deliver all necessary systems, policies and procedures which enable </w:t>
            </w:r>
            <w:r w:rsidR="007D2455" w:rsidRPr="001A50AF">
              <w:rPr>
                <w:rFonts w:ascii="Arial" w:hAnsi="Arial" w:cs="Arial"/>
                <w:sz w:val="20"/>
                <w:szCs w:val="20"/>
              </w:rPr>
              <w:t xml:space="preserve">value for money for members.  </w:t>
            </w:r>
          </w:p>
          <w:p w14:paraId="62642E82" w14:textId="68AE76DB" w:rsidR="00056C6F" w:rsidRPr="00C5076C" w:rsidRDefault="004B73BB" w:rsidP="005143F3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A50AF">
              <w:rPr>
                <w:rFonts w:ascii="Arial" w:hAnsi="Arial" w:cs="Arial"/>
                <w:sz w:val="20"/>
                <w:szCs w:val="20"/>
              </w:rPr>
              <w:t>Lead for a culture and capability in Lean / continuous improvement and project management to drive operational efficiency and great member experiences and outcomes</w:t>
            </w:r>
            <w:r w:rsidR="005801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B903CD" w14:textId="0812AD71" w:rsidR="005143F3" w:rsidRPr="00115826" w:rsidRDefault="00C5076C" w:rsidP="005143F3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closely with senior leadership team</w:t>
            </w:r>
            <w:r w:rsidR="00F6751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634">
              <w:rPr>
                <w:rFonts w:ascii="Arial" w:hAnsi="Arial" w:cs="Arial"/>
                <w:sz w:val="20"/>
                <w:szCs w:val="20"/>
              </w:rPr>
              <w:t xml:space="preserve">from across MPS to provide </w:t>
            </w:r>
            <w:r>
              <w:rPr>
                <w:rFonts w:ascii="Arial" w:hAnsi="Arial" w:cs="Arial"/>
                <w:sz w:val="20"/>
                <w:szCs w:val="20"/>
              </w:rPr>
              <w:t>a corporate services function</w:t>
            </w:r>
            <w:r w:rsidRPr="001E2634">
              <w:rPr>
                <w:rFonts w:ascii="Arial" w:hAnsi="Arial" w:cs="Arial"/>
                <w:sz w:val="20"/>
                <w:szCs w:val="20"/>
              </w:rPr>
              <w:t xml:space="preserve"> which ensures </w:t>
            </w:r>
            <w:r>
              <w:rPr>
                <w:rFonts w:ascii="Arial" w:hAnsi="Arial" w:cs="Arial"/>
                <w:sz w:val="20"/>
                <w:szCs w:val="20"/>
              </w:rPr>
              <w:t>we continue to provide excellence in our member service</w:t>
            </w:r>
            <w:r w:rsidR="005801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2E659B" w14:textId="19AB67C7" w:rsidR="00115826" w:rsidRPr="005143F3" w:rsidRDefault="00115826" w:rsidP="00115826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17E90A3D" w14:textId="77777777" w:rsidR="00EF68A2" w:rsidRDefault="00EF68A2" w:rsidP="00EF68A2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ED53C39" w14:textId="1A039E9F" w:rsidR="0062500E" w:rsidRDefault="0062500E" w:rsidP="005143F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482048A0" w14:textId="324518FB" w:rsidR="005B7251" w:rsidRPr="009E22D0" w:rsidRDefault="0062500E" w:rsidP="005143F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43F3">
              <w:rPr>
                <w:rFonts w:ascii="Arial" w:hAnsi="Arial" w:cs="Arial"/>
                <w:sz w:val="20"/>
                <w:szCs w:val="20"/>
              </w:rPr>
              <w:t>Internal stakeholder Feedback</w:t>
            </w:r>
          </w:p>
        </w:tc>
      </w:tr>
      <w:tr w:rsidR="009E22D0" w:rsidRPr="009E22D0" w14:paraId="0B326DA0" w14:textId="77777777" w:rsidTr="00460874">
        <w:trPr>
          <w:trHeight w:val="591"/>
        </w:trPr>
        <w:tc>
          <w:tcPr>
            <w:tcW w:w="6663" w:type="dxa"/>
          </w:tcPr>
          <w:p w14:paraId="1C87AE5D" w14:textId="77777777" w:rsidR="00460874" w:rsidRPr="005143F3" w:rsidRDefault="009E22D0" w:rsidP="005143F3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143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People</w:t>
            </w:r>
          </w:p>
          <w:p w14:paraId="176716C1" w14:textId="3F615153" w:rsidR="00AC6785" w:rsidRPr="00303A31" w:rsidRDefault="0062500E" w:rsidP="00AC6785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 to developing</w:t>
            </w:r>
            <w:r w:rsidR="00AC6785" w:rsidRPr="00303A31">
              <w:rPr>
                <w:rFonts w:ascii="Arial" w:hAnsi="Arial" w:cs="Arial"/>
                <w:sz w:val="20"/>
                <w:szCs w:val="20"/>
              </w:rPr>
              <w:t xml:space="preserve"> a one-team, </w:t>
            </w:r>
            <w:r w:rsidR="00C02C02" w:rsidRPr="00303A31">
              <w:rPr>
                <w:rFonts w:ascii="Arial" w:hAnsi="Arial" w:cs="Arial"/>
                <w:sz w:val="20"/>
                <w:szCs w:val="20"/>
              </w:rPr>
              <w:t>service-based</w:t>
            </w:r>
            <w:r w:rsidR="00AC6785" w:rsidRPr="00303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C6785" w:rsidRPr="00303A31">
              <w:rPr>
                <w:rFonts w:ascii="Arial" w:hAnsi="Arial" w:cs="Arial"/>
                <w:sz w:val="20"/>
                <w:szCs w:val="20"/>
              </w:rPr>
              <w:t>mindset</w:t>
            </w:r>
            <w:proofErr w:type="gramEnd"/>
            <w:r w:rsidR="00AC6785" w:rsidRPr="00303A31">
              <w:rPr>
                <w:rFonts w:ascii="Arial" w:hAnsi="Arial" w:cs="Arial"/>
                <w:sz w:val="20"/>
                <w:szCs w:val="20"/>
              </w:rPr>
              <w:t xml:space="preserve"> and culture</w:t>
            </w:r>
            <w:r>
              <w:rPr>
                <w:rFonts w:ascii="Arial" w:hAnsi="Arial" w:cs="Arial"/>
                <w:sz w:val="20"/>
                <w:szCs w:val="20"/>
              </w:rPr>
              <w:t xml:space="preserve"> across the Corporate Services Function.</w:t>
            </w:r>
          </w:p>
          <w:p w14:paraId="1C38E33B" w14:textId="1AD93627" w:rsidR="00460874" w:rsidRPr="004C050B" w:rsidRDefault="004C050B" w:rsidP="00AC6785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strong directional leadership to ensure the training, competence</w:t>
            </w:r>
            <w:r w:rsidR="00C852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D2DB3">
              <w:rPr>
                <w:rFonts w:ascii="Arial" w:hAnsi="Arial" w:cs="Arial"/>
                <w:sz w:val="20"/>
                <w:szCs w:val="20"/>
              </w:rPr>
              <w:t>performance,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engagement of </w:t>
            </w:r>
            <w:r w:rsidR="000E0981">
              <w:rPr>
                <w:rFonts w:ascii="Arial" w:hAnsi="Arial" w:cs="Arial"/>
                <w:sz w:val="20"/>
                <w:szCs w:val="20"/>
              </w:rPr>
              <w:t xml:space="preserve">colleagues </w:t>
            </w:r>
            <w:r>
              <w:rPr>
                <w:rFonts w:ascii="Arial" w:hAnsi="Arial" w:cs="Arial"/>
                <w:sz w:val="20"/>
                <w:szCs w:val="20"/>
              </w:rPr>
              <w:t>who are focussed on delivering for members, have clarity on their accountabilities and a</w:t>
            </w:r>
            <w:r w:rsidR="00845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comply with all governance, policy standards and processes.</w:t>
            </w:r>
          </w:p>
          <w:p w14:paraId="12F5BCE7" w14:textId="292905E4" w:rsidR="00056C6F" w:rsidRPr="000431B3" w:rsidRDefault="004C050B" w:rsidP="00AC6785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 a strong pipeline of talent and succession across the </w:t>
            </w:r>
            <w:r w:rsidR="0062500E">
              <w:rPr>
                <w:rFonts w:ascii="Arial" w:hAnsi="Arial" w:cs="Arial"/>
                <w:sz w:val="20"/>
                <w:szCs w:val="20"/>
              </w:rPr>
              <w:t xml:space="preserve">Corporate Services team </w:t>
            </w:r>
            <w:r>
              <w:rPr>
                <w:rFonts w:ascii="Arial" w:hAnsi="Arial" w:cs="Arial"/>
                <w:sz w:val="20"/>
                <w:szCs w:val="20"/>
              </w:rPr>
              <w:t>for the benefit of MPS which will mitigate workforce planning risks and maximises the performance and potential of employees.</w:t>
            </w:r>
          </w:p>
          <w:p w14:paraId="1F02EF36" w14:textId="77777777" w:rsidR="000431B3" w:rsidRDefault="000431B3" w:rsidP="00AC678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143F3">
              <w:rPr>
                <w:rFonts w:ascii="Arial" w:hAnsi="Arial" w:cs="Arial"/>
                <w:sz w:val="20"/>
                <w:szCs w:val="20"/>
              </w:rPr>
              <w:t>Take the lead on promoting a more inclusive environment, which aligns with our commitment to celebrate and promote diversity.</w:t>
            </w:r>
          </w:p>
          <w:p w14:paraId="4D71FFD0" w14:textId="77667419" w:rsidR="005143F3" w:rsidRPr="000431B3" w:rsidRDefault="00915F59" w:rsidP="005143F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915F59">
              <w:rPr>
                <w:rFonts w:ascii="Arial" w:hAnsi="Arial" w:cs="Arial"/>
                <w:sz w:val="20"/>
                <w:szCs w:val="20"/>
              </w:rPr>
              <w:t>Create opportunities for knowledge sharing and collaboration, ensuring business/teams are aware of changes and prepared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41" w:type="dxa"/>
          </w:tcPr>
          <w:p w14:paraId="78D1EE74" w14:textId="77777777" w:rsidR="00EF68A2" w:rsidRDefault="00EF68A2" w:rsidP="00EF68A2">
            <w:pPr>
              <w:pStyle w:val="ListParagraph"/>
              <w:tabs>
                <w:tab w:val="left" w:pos="3145"/>
              </w:tabs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39E47CE1" w14:textId="623A7CC8" w:rsidR="00CD01F0" w:rsidRDefault="000431B3" w:rsidP="00CD01F0">
            <w:pPr>
              <w:pStyle w:val="ListParagraph"/>
              <w:numPr>
                <w:ilvl w:val="0"/>
                <w:numId w:val="16"/>
              </w:numPr>
              <w:tabs>
                <w:tab w:val="left" w:pos="3145"/>
              </w:tabs>
              <w:spacing w:after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Divisional </w:t>
            </w:r>
            <w:r w:rsidR="004C050B">
              <w:rPr>
                <w:rFonts w:ascii="Arial" w:hAnsi="Arial" w:cs="Arial"/>
                <w:sz w:val="20"/>
                <w:szCs w:val="20"/>
              </w:rPr>
              <w:t>Engagement Index vs MPS</w:t>
            </w:r>
          </w:p>
          <w:p w14:paraId="0D97877A" w14:textId="588664E8" w:rsidR="004C050B" w:rsidRDefault="000431B3" w:rsidP="00CD01F0">
            <w:pPr>
              <w:pStyle w:val="ListParagraph"/>
              <w:numPr>
                <w:ilvl w:val="0"/>
                <w:numId w:val="16"/>
              </w:numPr>
              <w:tabs>
                <w:tab w:val="left" w:pos="3145"/>
              </w:tabs>
              <w:spacing w:after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Divisional </w:t>
            </w:r>
            <w:r w:rsidR="004C050B">
              <w:rPr>
                <w:rFonts w:ascii="Arial" w:hAnsi="Arial" w:cs="Arial"/>
                <w:sz w:val="20"/>
                <w:szCs w:val="20"/>
              </w:rPr>
              <w:t>Leadership index vs MPS</w:t>
            </w:r>
          </w:p>
          <w:p w14:paraId="36D9F545" w14:textId="5DD7FCCC" w:rsidR="000431B3" w:rsidRDefault="000431B3" w:rsidP="00CD01F0">
            <w:pPr>
              <w:pStyle w:val="ListParagraph"/>
              <w:numPr>
                <w:ilvl w:val="0"/>
                <w:numId w:val="16"/>
              </w:numPr>
              <w:tabs>
                <w:tab w:val="left" w:pos="3145"/>
              </w:tabs>
              <w:spacing w:after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Divisional Inclusion Index vs MPS</w:t>
            </w:r>
          </w:p>
          <w:p w14:paraId="09350E98" w14:textId="77777777" w:rsidR="004C050B" w:rsidRDefault="004C050B" w:rsidP="00CD01F0">
            <w:pPr>
              <w:pStyle w:val="ListParagraph"/>
              <w:numPr>
                <w:ilvl w:val="0"/>
                <w:numId w:val="16"/>
              </w:numPr>
              <w:tabs>
                <w:tab w:val="left" w:pos="3145"/>
              </w:tabs>
              <w:spacing w:after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537D8455" w14:textId="77777777" w:rsidR="004C050B" w:rsidRDefault="004C050B" w:rsidP="00CD01F0">
            <w:pPr>
              <w:pStyle w:val="ListParagraph"/>
              <w:numPr>
                <w:ilvl w:val="0"/>
                <w:numId w:val="16"/>
              </w:numPr>
              <w:tabs>
                <w:tab w:val="left" w:pos="3145"/>
              </w:tabs>
              <w:spacing w:after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metrics – attrition, absence</w:t>
            </w:r>
          </w:p>
          <w:p w14:paraId="114A83AE" w14:textId="77777777" w:rsidR="004C050B" w:rsidRDefault="004C050B" w:rsidP="00CD01F0">
            <w:pPr>
              <w:pStyle w:val="ListParagraph"/>
              <w:numPr>
                <w:ilvl w:val="0"/>
                <w:numId w:val="16"/>
              </w:numPr>
              <w:tabs>
                <w:tab w:val="left" w:pos="3145"/>
              </w:tabs>
              <w:spacing w:after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  <w:r w:rsidR="0084512A">
              <w:rPr>
                <w:rFonts w:ascii="Arial" w:hAnsi="Arial" w:cs="Arial"/>
                <w:sz w:val="20"/>
                <w:szCs w:val="20"/>
              </w:rPr>
              <w:t xml:space="preserve"> (where required)</w:t>
            </w:r>
          </w:p>
          <w:p w14:paraId="72AA52AB" w14:textId="77777777" w:rsidR="009E22D0" w:rsidRPr="009E22D0" w:rsidRDefault="009E22D0" w:rsidP="00612EB0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2D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E22D0" w:rsidRPr="009E22D0" w14:paraId="1A67C039" w14:textId="77777777" w:rsidTr="00460874">
        <w:trPr>
          <w:trHeight w:val="591"/>
        </w:trPr>
        <w:tc>
          <w:tcPr>
            <w:tcW w:w="6663" w:type="dxa"/>
          </w:tcPr>
          <w:p w14:paraId="28A43E36" w14:textId="77777777" w:rsidR="0070366C" w:rsidRPr="005143F3" w:rsidRDefault="009E22D0" w:rsidP="005143F3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143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Risk</w:t>
            </w:r>
          </w:p>
          <w:p w14:paraId="46827F3B" w14:textId="77777777" w:rsidR="00DA4E52" w:rsidRDefault="0062500E" w:rsidP="00C02C02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 xml:space="preserve">Create an environment where all </w:t>
            </w:r>
            <w:r w:rsidRPr="00C67D56">
              <w:rPr>
                <w:rFonts w:ascii="Arial" w:hAnsi="Arial" w:cs="Arial"/>
                <w:sz w:val="20"/>
                <w:szCs w:val="20"/>
              </w:rPr>
              <w:t xml:space="preserve">colleagues </w:t>
            </w:r>
            <w:r w:rsidRPr="00B963C9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Corporate Services </w:t>
            </w:r>
            <w:r w:rsidRPr="0073133A">
              <w:rPr>
                <w:rFonts w:ascii="Arial" w:hAnsi="Arial" w:cs="Arial"/>
                <w:sz w:val="20"/>
                <w:szCs w:val="20"/>
              </w:rPr>
              <w:t>recognise the importance of risk identification and management</w:t>
            </w:r>
          </w:p>
          <w:p w14:paraId="2A4F28FF" w14:textId="79D9671F" w:rsidR="0062500E" w:rsidRPr="00296965" w:rsidRDefault="00296965" w:rsidP="00296965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96965">
              <w:rPr>
                <w:rFonts w:ascii="Arial" w:hAnsi="Arial" w:cs="Arial"/>
                <w:sz w:val="20"/>
                <w:szCs w:val="20"/>
              </w:rPr>
              <w:t>Ensur</w:t>
            </w:r>
            <w:r w:rsidR="00DE3B3B">
              <w:rPr>
                <w:rFonts w:ascii="Arial" w:hAnsi="Arial" w:cs="Arial"/>
                <w:sz w:val="20"/>
                <w:szCs w:val="20"/>
              </w:rPr>
              <w:t>e</w:t>
            </w:r>
            <w:r w:rsidRPr="00296965">
              <w:rPr>
                <w:rFonts w:ascii="Arial" w:hAnsi="Arial" w:cs="Arial"/>
                <w:sz w:val="20"/>
                <w:szCs w:val="20"/>
              </w:rPr>
              <w:t xml:space="preserve"> that effective internal controls/audit protocols are in place to monitor compliance across standardised policies, </w:t>
            </w:r>
            <w:r w:rsidRPr="00DE3B3B">
              <w:rPr>
                <w:rFonts w:ascii="Arial" w:hAnsi="Arial" w:cs="Arial"/>
                <w:sz w:val="20"/>
                <w:szCs w:val="20"/>
              </w:rPr>
              <w:t>procedures, and systems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5C99F8D" w14:textId="714FDC69" w:rsidR="00C02C02" w:rsidRDefault="00C02C02" w:rsidP="00C02C02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C02">
              <w:rPr>
                <w:rFonts w:ascii="Arial" w:hAnsi="Arial" w:cs="Arial"/>
                <w:sz w:val="20"/>
                <w:szCs w:val="20"/>
              </w:rPr>
              <w:t xml:space="preserve">Propose policy/implementational handbook which meet the business </w:t>
            </w:r>
            <w:r w:rsidR="00390345" w:rsidRPr="00C02C02">
              <w:rPr>
                <w:rFonts w:ascii="Arial" w:hAnsi="Arial" w:cs="Arial"/>
                <w:sz w:val="20"/>
                <w:szCs w:val="20"/>
              </w:rPr>
              <w:t>needs and</w:t>
            </w:r>
            <w:r w:rsidRPr="00C02C02">
              <w:rPr>
                <w:rFonts w:ascii="Arial" w:hAnsi="Arial" w:cs="Arial"/>
                <w:sz w:val="20"/>
                <w:szCs w:val="20"/>
              </w:rPr>
              <w:t xml:space="preserve"> balance the efficiency and risk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CAE708" w14:textId="1C0D9518" w:rsidR="00636270" w:rsidRPr="0073133A" w:rsidRDefault="00636270" w:rsidP="00C02C02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36270">
              <w:rPr>
                <w:rFonts w:ascii="Arial" w:hAnsi="Arial" w:cs="Arial"/>
                <w:sz w:val="20"/>
                <w:szCs w:val="20"/>
              </w:rPr>
              <w:t xml:space="preserve">Develop a framework of accountabilities/processes/roles and responsibilities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54F79">
              <w:rPr>
                <w:rFonts w:ascii="Arial" w:hAnsi="Arial" w:cs="Arial"/>
                <w:sz w:val="20"/>
                <w:szCs w:val="20"/>
              </w:rPr>
              <w:t>s</w:t>
            </w:r>
            <w:r w:rsidRPr="00636270">
              <w:rPr>
                <w:rFonts w:ascii="Arial" w:hAnsi="Arial" w:cs="Arial"/>
                <w:sz w:val="20"/>
                <w:szCs w:val="20"/>
              </w:rPr>
              <w:t xml:space="preserve">ervice </w:t>
            </w:r>
            <w:r w:rsidR="00754F79">
              <w:rPr>
                <w:rFonts w:ascii="Arial" w:hAnsi="Arial" w:cs="Arial"/>
                <w:sz w:val="20"/>
                <w:szCs w:val="20"/>
              </w:rPr>
              <w:t>d</w:t>
            </w:r>
            <w:r w:rsidRPr="00636270">
              <w:rPr>
                <w:rFonts w:ascii="Arial" w:hAnsi="Arial" w:cs="Arial"/>
                <w:sz w:val="20"/>
                <w:szCs w:val="20"/>
              </w:rPr>
              <w:t>elivery team</w:t>
            </w:r>
            <w:r w:rsidR="00754F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636270">
              <w:rPr>
                <w:rFonts w:ascii="Arial" w:hAnsi="Arial" w:cs="Arial"/>
                <w:sz w:val="20"/>
                <w:szCs w:val="20"/>
              </w:rPr>
              <w:t>(RACI) to drive best practice</w:t>
            </w:r>
            <w:r w:rsidR="00754F79">
              <w:rPr>
                <w:rFonts w:ascii="Arial" w:hAnsi="Arial" w:cs="Arial"/>
                <w:sz w:val="20"/>
                <w:szCs w:val="20"/>
              </w:rPr>
              <w:t xml:space="preserve"> and mitigate risk. </w:t>
            </w:r>
          </w:p>
          <w:p w14:paraId="10BBAF1A" w14:textId="08413AFF" w:rsidR="0070366C" w:rsidRPr="00460874" w:rsidRDefault="0070366C" w:rsidP="006747A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0371C60" w14:textId="77777777" w:rsidR="00EF68A2" w:rsidRPr="00EF68A2" w:rsidRDefault="00EF68A2" w:rsidP="00EF68A2">
            <w:pPr>
              <w:pStyle w:val="NoSpacing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2A2BDBDC" w14:textId="28B5C444" w:rsidR="009E22D0" w:rsidRPr="00C42FA3" w:rsidRDefault="00C42FA3" w:rsidP="00827C6C">
            <w:pPr>
              <w:pStyle w:val="NoSpacing"/>
              <w:numPr>
                <w:ilvl w:val="0"/>
                <w:numId w:val="1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Risk and Control Self-Assessments</w:t>
            </w:r>
          </w:p>
          <w:p w14:paraId="6F9E408A" w14:textId="77777777" w:rsidR="00C42FA3" w:rsidRPr="00C42FA3" w:rsidRDefault="00C42FA3" w:rsidP="00827C6C">
            <w:pPr>
              <w:pStyle w:val="NoSpacing"/>
              <w:numPr>
                <w:ilvl w:val="0"/>
                <w:numId w:val="1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251EE220" w14:textId="77777777" w:rsidR="00C42FA3" w:rsidRPr="00C42FA3" w:rsidRDefault="00C42FA3" w:rsidP="00827C6C">
            <w:pPr>
              <w:pStyle w:val="NoSpacing"/>
              <w:numPr>
                <w:ilvl w:val="0"/>
                <w:numId w:val="1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QA Outcomes</w:t>
            </w:r>
          </w:p>
          <w:p w14:paraId="2CD59FFF" w14:textId="77777777" w:rsidR="00C42FA3" w:rsidRPr="00460874" w:rsidRDefault="00C42FA3" w:rsidP="0084512A">
            <w:pPr>
              <w:pStyle w:val="NoSpacing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6023B" w14:textId="77777777" w:rsidR="00FB4711" w:rsidRDefault="00FB4711" w:rsidP="00E30FE4">
      <w:pPr>
        <w:spacing w:after="0"/>
      </w:pPr>
    </w:p>
    <w:tbl>
      <w:tblPr>
        <w:tblStyle w:val="TableGrid"/>
        <w:tblW w:w="10441" w:type="dxa"/>
        <w:tblInd w:w="-1026" w:type="dxa"/>
        <w:tblLook w:val="04A0" w:firstRow="1" w:lastRow="0" w:firstColumn="1" w:lastColumn="0" w:noHBand="0" w:noVBand="1"/>
      </w:tblPr>
      <w:tblGrid>
        <w:gridCol w:w="10441"/>
      </w:tblGrid>
      <w:tr w:rsidR="009E22D0" w:rsidRPr="009E22D0" w14:paraId="69F5D577" w14:textId="77777777" w:rsidTr="00276C50">
        <w:trPr>
          <w:trHeight w:val="551"/>
        </w:trPr>
        <w:tc>
          <w:tcPr>
            <w:tcW w:w="10441" w:type="dxa"/>
            <w:shd w:val="clear" w:color="auto" w:fill="D9D9D9" w:themeFill="background1" w:themeFillShade="D9"/>
          </w:tcPr>
          <w:p w14:paraId="2DD05BC4" w14:textId="77777777" w:rsidR="009E22D0" w:rsidRPr="009E22D0" w:rsidRDefault="009E22D0" w:rsidP="00276C5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D28E0" w14:textId="766AB157" w:rsidR="009E22D0" w:rsidRPr="00276C50" w:rsidRDefault="009E22D0" w:rsidP="00276C5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76C50">
              <w:rPr>
                <w:rFonts w:ascii="Arial" w:hAnsi="Arial" w:cs="Arial"/>
                <w:b/>
                <w:sz w:val="20"/>
                <w:szCs w:val="20"/>
              </w:rPr>
              <w:t>Responsibilities (RACI</w:t>
            </w:r>
            <w:r w:rsidR="00276C50" w:rsidRPr="00276C5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E22D0" w:rsidRPr="009E22D0" w14:paraId="50EBA319" w14:textId="77777777" w:rsidTr="00717094">
        <w:trPr>
          <w:trHeight w:val="693"/>
        </w:trPr>
        <w:tc>
          <w:tcPr>
            <w:tcW w:w="10441" w:type="dxa"/>
          </w:tcPr>
          <w:p w14:paraId="1F55BFC6" w14:textId="10882666" w:rsidR="000431B3" w:rsidRDefault="000431B3" w:rsidP="00C5076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431B3">
              <w:rPr>
                <w:rFonts w:ascii="Arial" w:hAnsi="Arial" w:cs="Arial"/>
                <w:sz w:val="20"/>
                <w:szCs w:val="20"/>
              </w:rPr>
              <w:t>Focus on identifying opportunities across the corporate services function for cross skilling across roles whilst enabling better management of the peak and flow in workload</w:t>
            </w:r>
          </w:p>
          <w:p w14:paraId="2ADF3B1D" w14:textId="2CEA99CB" w:rsidR="009E22D0" w:rsidRPr="00C5076C" w:rsidRDefault="0062500E" w:rsidP="00C5076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color w:val="2D2D2D"/>
                <w:sz w:val="20"/>
                <w:szCs w:val="20"/>
              </w:rPr>
            </w:pPr>
            <w:r w:rsidRPr="001E2634">
              <w:rPr>
                <w:rFonts w:ascii="Arial" w:hAnsi="Arial" w:cs="Arial"/>
                <w:sz w:val="20"/>
                <w:szCs w:val="20"/>
              </w:rPr>
              <w:t xml:space="preserve">Responsible for all the processes, controls and </w:t>
            </w:r>
            <w:proofErr w:type="gramStart"/>
            <w:r w:rsidRPr="001E2634">
              <w:rPr>
                <w:rFonts w:ascii="Arial" w:hAnsi="Arial" w:cs="Arial"/>
                <w:sz w:val="20"/>
                <w:szCs w:val="20"/>
              </w:rPr>
              <w:t>SLA’s</w:t>
            </w:r>
            <w:proofErr w:type="gramEnd"/>
            <w:r w:rsidRPr="001E2634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Corporate Services teams </w:t>
            </w:r>
          </w:p>
        </w:tc>
      </w:tr>
    </w:tbl>
    <w:tbl>
      <w:tblPr>
        <w:tblStyle w:val="TableGrid2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5250EB" w:rsidRPr="005250EB" w14:paraId="39B479CC" w14:textId="77777777" w:rsidTr="00625B23">
        <w:trPr>
          <w:trHeight w:val="286"/>
        </w:trPr>
        <w:tc>
          <w:tcPr>
            <w:tcW w:w="10349" w:type="dxa"/>
            <w:shd w:val="clear" w:color="auto" w:fill="D9D9D9"/>
          </w:tcPr>
          <w:p w14:paraId="11CEEBCE" w14:textId="77777777" w:rsidR="00276C50" w:rsidRDefault="00276C50" w:rsidP="00276C50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17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0651D2F2" w14:textId="77777777" w:rsidR="005250EB" w:rsidRDefault="005250EB" w:rsidP="00276C50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170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76C5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Key Governance Responsibilities</w:t>
            </w:r>
          </w:p>
          <w:p w14:paraId="201DFE60" w14:textId="4A38F668" w:rsidR="00276C50" w:rsidRPr="005250EB" w:rsidRDefault="00276C50" w:rsidP="00276C50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EB" w:rsidRPr="005250EB" w14:paraId="22E68A31" w14:textId="77777777" w:rsidTr="00625B23">
        <w:tc>
          <w:tcPr>
            <w:tcW w:w="10349" w:type="dxa"/>
          </w:tcPr>
          <w:p w14:paraId="72F25F3F" w14:textId="0A0EAF0F" w:rsidR="005250EB" w:rsidRPr="00F003E8" w:rsidRDefault="0062500E" w:rsidP="00F003E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003E8">
              <w:rPr>
                <w:rFonts w:ascii="Arial" w:hAnsi="Arial" w:cs="Arial"/>
                <w:sz w:val="20"/>
                <w:szCs w:val="20"/>
              </w:rPr>
              <w:t xml:space="preserve">TBC – </w:t>
            </w:r>
            <w:r w:rsidR="00365994" w:rsidRPr="00F003E8">
              <w:rPr>
                <w:rFonts w:ascii="Arial" w:hAnsi="Arial" w:cs="Arial"/>
                <w:sz w:val="20"/>
                <w:szCs w:val="20"/>
              </w:rPr>
              <w:t>G</w:t>
            </w:r>
            <w:r w:rsidRPr="00F003E8">
              <w:rPr>
                <w:rFonts w:ascii="Arial" w:hAnsi="Arial" w:cs="Arial"/>
                <w:sz w:val="20"/>
                <w:szCs w:val="20"/>
              </w:rPr>
              <w:t>overnance forums within MPS</w:t>
            </w:r>
          </w:p>
          <w:p w14:paraId="452E790C" w14:textId="6F06CCF9" w:rsidR="005143F3" w:rsidRPr="005250EB" w:rsidRDefault="005143F3" w:rsidP="005143F3">
            <w:pPr>
              <w:spacing w:after="0" w:line="240" w:lineRule="auto"/>
              <w:ind w:left="3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E4E37" w14:textId="77777777" w:rsidR="005250EB" w:rsidRDefault="005250EB"/>
    <w:p w14:paraId="123CF6CC" w14:textId="77777777" w:rsidR="00C7798E" w:rsidRDefault="00C7798E"/>
    <w:p w14:paraId="446EF956" w14:textId="77777777" w:rsidR="00C7798E" w:rsidRDefault="00C7798E"/>
    <w:tbl>
      <w:tblPr>
        <w:tblStyle w:val="TableGrid"/>
        <w:tblW w:w="10432" w:type="dxa"/>
        <w:tblInd w:w="-1026" w:type="dxa"/>
        <w:tblLook w:val="04A0" w:firstRow="1" w:lastRow="0" w:firstColumn="1" w:lastColumn="0" w:noHBand="0" w:noVBand="1"/>
      </w:tblPr>
      <w:tblGrid>
        <w:gridCol w:w="6291"/>
        <w:gridCol w:w="4141"/>
      </w:tblGrid>
      <w:tr w:rsidR="0056188D" w:rsidRPr="00C91CFA" w14:paraId="027C7363" w14:textId="77777777" w:rsidTr="00717094">
        <w:trPr>
          <w:trHeight w:val="310"/>
        </w:trPr>
        <w:tc>
          <w:tcPr>
            <w:tcW w:w="6291" w:type="dxa"/>
            <w:shd w:val="clear" w:color="auto" w:fill="D9D9D9" w:themeFill="background1" w:themeFillShade="D9"/>
          </w:tcPr>
          <w:p w14:paraId="2185672C" w14:textId="77777777" w:rsidR="00276C50" w:rsidRDefault="00276C50" w:rsidP="00276C5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59723" w14:textId="6F6C1C45" w:rsidR="0056188D" w:rsidRPr="00C91CFA" w:rsidRDefault="00C91CFA" w:rsidP="00276C5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7314078F" w14:textId="77777777" w:rsidR="0056188D" w:rsidRPr="00C91CFA" w:rsidRDefault="0056188D" w:rsidP="003F2C75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2DDBA" w14:textId="77777777" w:rsidR="0056188D" w:rsidRPr="00C91CFA" w:rsidRDefault="00C91CFA" w:rsidP="003F2C75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6BB10E3F" w14:textId="77777777" w:rsidR="0056188D" w:rsidRPr="00717094" w:rsidRDefault="0056188D" w:rsidP="002D3B1B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56188D" w14:paraId="34B488CD" w14:textId="77777777" w:rsidTr="00717094">
        <w:trPr>
          <w:trHeight w:val="211"/>
        </w:trPr>
        <w:tc>
          <w:tcPr>
            <w:tcW w:w="6291" w:type="dxa"/>
          </w:tcPr>
          <w:p w14:paraId="7B635109" w14:textId="77777777" w:rsidR="0056188D" w:rsidRPr="0056188D" w:rsidRDefault="0056188D" w:rsidP="00561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188D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141" w:type="dxa"/>
          </w:tcPr>
          <w:p w14:paraId="2C28CFB1" w14:textId="62669D4C" w:rsidR="0056188D" w:rsidRPr="0056188D" w:rsidRDefault="007D2455" w:rsidP="002D3B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2500E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56188D" w:rsidRPr="0056188D" w14:paraId="2030FF53" w14:textId="77777777" w:rsidTr="00717094">
        <w:trPr>
          <w:trHeight w:val="211"/>
        </w:trPr>
        <w:tc>
          <w:tcPr>
            <w:tcW w:w="6291" w:type="dxa"/>
          </w:tcPr>
          <w:p w14:paraId="0CF0EF9A" w14:textId="6F8258F8" w:rsidR="0056188D" w:rsidRPr="0056188D" w:rsidRDefault="0056188D" w:rsidP="00561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188D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62500E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141" w:type="dxa"/>
          </w:tcPr>
          <w:p w14:paraId="1224933B" w14:textId="09545E6A" w:rsidR="0056188D" w:rsidRPr="0056188D" w:rsidRDefault="007D2455" w:rsidP="00561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C6416F">
              <w:rPr>
                <w:rFonts w:ascii="Arial" w:hAnsi="Arial" w:cs="Arial"/>
                <w:sz w:val="20"/>
                <w:szCs w:val="20"/>
              </w:rPr>
              <w:t>Others</w:t>
            </w:r>
            <w:r w:rsidR="002703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188D" w:rsidRPr="0056188D" w14:paraId="51871172" w14:textId="77777777" w:rsidTr="00717094">
        <w:trPr>
          <w:trHeight w:val="211"/>
        </w:trPr>
        <w:tc>
          <w:tcPr>
            <w:tcW w:w="6291" w:type="dxa"/>
          </w:tcPr>
          <w:p w14:paraId="12BFD22C" w14:textId="77777777" w:rsidR="0056188D" w:rsidRPr="0056188D" w:rsidRDefault="0056188D" w:rsidP="00561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188D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141" w:type="dxa"/>
          </w:tcPr>
          <w:p w14:paraId="63EE8C3E" w14:textId="3E8E6AF1" w:rsidR="0056188D" w:rsidRPr="0056188D" w:rsidRDefault="007D2455" w:rsidP="00936A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2500E">
              <w:rPr>
                <w:rFonts w:ascii="Arial" w:hAnsi="Arial" w:cs="Arial"/>
                <w:sz w:val="20"/>
                <w:szCs w:val="20"/>
              </w:rPr>
              <w:t xml:space="preserve">Others </w:t>
            </w:r>
          </w:p>
        </w:tc>
      </w:tr>
      <w:tr w:rsidR="0056188D" w:rsidRPr="0056188D" w14:paraId="7EB753A5" w14:textId="77777777" w:rsidTr="00717094">
        <w:trPr>
          <w:trHeight w:val="211"/>
        </w:trPr>
        <w:tc>
          <w:tcPr>
            <w:tcW w:w="6291" w:type="dxa"/>
          </w:tcPr>
          <w:p w14:paraId="45B523F8" w14:textId="44039C6C" w:rsidR="0056188D" w:rsidRPr="0056188D" w:rsidRDefault="0056188D" w:rsidP="00561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188D">
              <w:rPr>
                <w:rFonts w:ascii="Arial" w:hAnsi="Arial" w:cs="Arial"/>
                <w:sz w:val="20"/>
                <w:szCs w:val="20"/>
              </w:rPr>
              <w:t>Collaborating</w:t>
            </w:r>
            <w:r w:rsidR="00C6416F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141" w:type="dxa"/>
          </w:tcPr>
          <w:p w14:paraId="5131CDF7" w14:textId="1BA09803" w:rsidR="0056188D" w:rsidRPr="0056188D" w:rsidRDefault="007D2455" w:rsidP="00561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2500E">
              <w:rPr>
                <w:rFonts w:ascii="Arial" w:hAnsi="Arial" w:cs="Arial"/>
                <w:sz w:val="20"/>
                <w:szCs w:val="20"/>
              </w:rPr>
              <w:t xml:space="preserve">Others </w:t>
            </w:r>
          </w:p>
        </w:tc>
      </w:tr>
      <w:tr w:rsidR="0056188D" w:rsidRPr="0056188D" w14:paraId="1A62ADDA" w14:textId="77777777" w:rsidTr="00717094">
        <w:trPr>
          <w:trHeight w:val="211"/>
        </w:trPr>
        <w:tc>
          <w:tcPr>
            <w:tcW w:w="6291" w:type="dxa"/>
          </w:tcPr>
          <w:p w14:paraId="0EDC5465" w14:textId="77777777" w:rsidR="0056188D" w:rsidRPr="0056188D" w:rsidRDefault="0056188D" w:rsidP="00561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188D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141" w:type="dxa"/>
          </w:tcPr>
          <w:p w14:paraId="359E7105" w14:textId="333D97D1" w:rsidR="0056188D" w:rsidRPr="0056188D" w:rsidRDefault="007D2455" w:rsidP="00936A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</w:t>
            </w:r>
            <w:r w:rsidR="001D2DB3">
              <w:rPr>
                <w:rFonts w:ascii="Arial" w:hAnsi="Arial" w:cs="Arial"/>
                <w:sz w:val="20"/>
                <w:szCs w:val="20"/>
              </w:rPr>
              <w:t xml:space="preserve"> Others</w:t>
            </w:r>
          </w:p>
        </w:tc>
      </w:tr>
      <w:tr w:rsidR="0056188D" w:rsidRPr="0056188D" w14:paraId="6563D058" w14:textId="77777777" w:rsidTr="00717094">
        <w:trPr>
          <w:trHeight w:val="211"/>
        </w:trPr>
        <w:tc>
          <w:tcPr>
            <w:tcW w:w="6291" w:type="dxa"/>
          </w:tcPr>
          <w:p w14:paraId="56B44049" w14:textId="310FD90C" w:rsidR="0056188D" w:rsidRPr="0056188D" w:rsidRDefault="0056188D" w:rsidP="00561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188D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62500E">
              <w:rPr>
                <w:rFonts w:ascii="Arial" w:hAnsi="Arial" w:cs="Arial"/>
                <w:sz w:val="20"/>
                <w:szCs w:val="20"/>
              </w:rPr>
              <w:t xml:space="preserve"> Thinking</w:t>
            </w:r>
          </w:p>
        </w:tc>
        <w:tc>
          <w:tcPr>
            <w:tcW w:w="4141" w:type="dxa"/>
          </w:tcPr>
          <w:p w14:paraId="5C132448" w14:textId="1795FA2E" w:rsidR="0056188D" w:rsidRPr="0056188D" w:rsidRDefault="007D2455" w:rsidP="00561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2500E">
              <w:rPr>
                <w:rFonts w:ascii="Arial" w:hAnsi="Arial" w:cs="Arial"/>
                <w:sz w:val="20"/>
                <w:szCs w:val="20"/>
              </w:rPr>
              <w:t xml:space="preserve">Others 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435"/>
        <w:tblW w:w="10456" w:type="dxa"/>
        <w:tblLook w:val="04A0" w:firstRow="1" w:lastRow="0" w:firstColumn="1" w:lastColumn="0" w:noHBand="0" w:noVBand="1"/>
      </w:tblPr>
      <w:tblGrid>
        <w:gridCol w:w="459"/>
        <w:gridCol w:w="2895"/>
        <w:gridCol w:w="2902"/>
        <w:gridCol w:w="4200"/>
      </w:tblGrid>
      <w:tr w:rsidR="00E40AC5" w:rsidRPr="00C91CFA" w14:paraId="1B976018" w14:textId="77777777" w:rsidTr="0C51C54C">
        <w:trPr>
          <w:trHeight w:val="222"/>
        </w:trPr>
        <w:tc>
          <w:tcPr>
            <w:tcW w:w="459" w:type="dxa"/>
            <w:shd w:val="clear" w:color="auto" w:fill="D9D9D9" w:themeFill="background1" w:themeFillShade="D9"/>
          </w:tcPr>
          <w:p w14:paraId="575689CE" w14:textId="77777777" w:rsidR="00E40AC5" w:rsidRPr="00C91CFA" w:rsidRDefault="00E40AC5" w:rsidP="007170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14:paraId="2DF180AC" w14:textId="77777777" w:rsidR="00E40AC5" w:rsidRPr="00C91CFA" w:rsidRDefault="00E40AC5" w:rsidP="007170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CFA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24E22259" w14:textId="77777777" w:rsidR="00E40AC5" w:rsidRPr="00C91CFA" w:rsidRDefault="00E40AC5" w:rsidP="007170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CFA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14:paraId="124C7E56" w14:textId="77777777" w:rsidR="00E40AC5" w:rsidRPr="00C91CFA" w:rsidRDefault="00E40AC5" w:rsidP="007170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CFA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86161B" w:rsidRPr="00C91CFA" w14:paraId="7AC08AF6" w14:textId="77777777" w:rsidTr="0C51C54C">
        <w:trPr>
          <w:cantSplit/>
          <w:trHeight w:val="2723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194E2AB3" w14:textId="77777777" w:rsidR="0086161B" w:rsidRPr="00C91CFA" w:rsidRDefault="0086161B" w:rsidP="008616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CFA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95" w:type="dxa"/>
          </w:tcPr>
          <w:p w14:paraId="6A7AE485" w14:textId="534C4BDA" w:rsidR="0086161B" w:rsidRPr="00F51BA3" w:rsidRDefault="0086161B" w:rsidP="0C51C54C">
            <w:pPr>
              <w:pStyle w:val="ListParagraph"/>
              <w:spacing w:after="0"/>
              <w:rPr>
                <w:rFonts w:ascii="Arial" w:eastAsia="Arial" w:hAnsi="Arial" w:cs="Arial"/>
                <w:color w:val="0F151A"/>
                <w:sz w:val="20"/>
                <w:szCs w:val="20"/>
              </w:rPr>
            </w:pPr>
          </w:p>
        </w:tc>
        <w:tc>
          <w:tcPr>
            <w:tcW w:w="2902" w:type="dxa"/>
          </w:tcPr>
          <w:p w14:paraId="3D8F3DB7" w14:textId="77777777" w:rsidR="0086161B" w:rsidRPr="009F7980" w:rsidRDefault="0086161B" w:rsidP="0086161B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7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Managing senior stakeholders </w:t>
            </w:r>
          </w:p>
          <w:p w14:paraId="3B3F7C6F" w14:textId="77777777" w:rsidR="0086161B" w:rsidRPr="009F7980" w:rsidRDefault="0086161B" w:rsidP="0086161B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7980">
              <w:rPr>
                <w:rFonts w:ascii="Arial" w:hAnsi="Arial" w:cs="Arial"/>
                <w:color w:val="000000" w:themeColor="text1"/>
                <w:sz w:val="20"/>
                <w:szCs w:val="20"/>
              </w:rPr>
              <w:t>Leadership and Operational Management of large teams/departments</w:t>
            </w:r>
          </w:p>
          <w:p w14:paraId="053AC5A0" w14:textId="77777777" w:rsidR="0086161B" w:rsidRPr="009B1222" w:rsidRDefault="0086161B" w:rsidP="0086161B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161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Resource planning and productivity management</w:t>
            </w:r>
          </w:p>
          <w:p w14:paraId="5D53ED38" w14:textId="5784F434" w:rsidR="009B1222" w:rsidRPr="0086161B" w:rsidRDefault="009B1222" w:rsidP="0086161B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1222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communication skills, ability to get into the detail also articulate findings to executive level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00" w:type="dxa"/>
          </w:tcPr>
          <w:p w14:paraId="63FFB781" w14:textId="55BC72CB" w:rsidR="00A41619" w:rsidRPr="00D471ED" w:rsidRDefault="00D471ED" w:rsidP="0086161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D471ED">
              <w:rPr>
                <w:rFonts w:ascii="Arial" w:eastAsia="Calibri" w:hAnsi="Arial" w:cs="Arial"/>
                <w:sz w:val="20"/>
                <w:szCs w:val="20"/>
              </w:rPr>
              <w:t xml:space="preserve">roven track record of working in a </w:t>
            </w:r>
            <w:r w:rsidR="00542BF4">
              <w:rPr>
                <w:rFonts w:ascii="Arial" w:eastAsia="Calibri" w:hAnsi="Arial" w:cs="Arial"/>
                <w:sz w:val="20"/>
                <w:szCs w:val="20"/>
              </w:rPr>
              <w:t>Shared Service/Corporate Service environment</w:t>
            </w:r>
            <w:r w:rsidR="003F51D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7C0723B" w14:textId="0029F098" w:rsidR="0086161B" w:rsidRDefault="0086161B" w:rsidP="0086161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240E6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1240E6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240E6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1240E6">
              <w:rPr>
                <w:rFonts w:ascii="Arial" w:eastAsia="Calibri" w:hAnsi="Arial" w:cs="Arial"/>
                <w:sz w:val="20"/>
                <w:szCs w:val="20"/>
              </w:rPr>
              <w:t>ers</w:t>
            </w:r>
            <w:r w:rsidRPr="001240E6">
              <w:rPr>
                <w:rFonts w:ascii="Arial" w:eastAsia="Calibri" w:hAnsi="Arial" w:cs="Arial"/>
                <w:spacing w:val="-2"/>
                <w:sz w:val="20"/>
                <w:szCs w:val="20"/>
              </w:rPr>
              <w:t>h</w:t>
            </w:r>
            <w:r w:rsidRPr="001240E6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1240E6">
              <w:rPr>
                <w:rFonts w:ascii="Arial" w:eastAsia="Calibri" w:hAnsi="Arial" w:cs="Arial"/>
                <w:sz w:val="20"/>
                <w:szCs w:val="20"/>
              </w:rPr>
              <w:t xml:space="preserve">p </w:t>
            </w:r>
            <w:r w:rsidRPr="001240E6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1240E6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240E6"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 w:rsidRPr="001240E6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Pr="001240E6">
              <w:rPr>
                <w:rFonts w:ascii="Arial" w:eastAsia="Calibri" w:hAnsi="Arial" w:cs="Arial"/>
                <w:spacing w:val="-3"/>
                <w:sz w:val="20"/>
                <w:szCs w:val="20"/>
              </w:rPr>
              <w:t>w</w:t>
            </w:r>
            <w:r w:rsidRPr="001240E6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1240E6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1240E6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1240E6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1240E6">
              <w:rPr>
                <w:rFonts w:ascii="Arial" w:eastAsia="Calibri" w:hAnsi="Arial" w:cs="Arial"/>
                <w:sz w:val="20"/>
                <w:szCs w:val="20"/>
              </w:rPr>
              <w:t>n 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Calibri" w:hAnsi="Arial" w:cs="Arial"/>
                <w:spacing w:val="2"/>
                <w:sz w:val="20"/>
                <w:szCs w:val="20"/>
              </w:rPr>
              <w:t>operational function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EE1F661" w14:textId="3EF4359F" w:rsidR="0086161B" w:rsidRPr="0086161B" w:rsidRDefault="0086161B" w:rsidP="0086161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431B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Transformational leadership and extensive operational management </w:t>
            </w:r>
          </w:p>
          <w:p w14:paraId="7A9F2803" w14:textId="77777777" w:rsidR="0086161B" w:rsidRPr="0086161B" w:rsidRDefault="0086161B" w:rsidP="0086161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6161B">
              <w:rPr>
                <w:rFonts w:ascii="Arial" w:eastAsia="Calibri" w:hAnsi="Arial" w:cs="Arial"/>
                <w:sz w:val="20"/>
                <w:szCs w:val="20"/>
              </w:rPr>
              <w:t>Driving critical change programmes (operational performance, process or cultural) in complex environments</w:t>
            </w:r>
          </w:p>
          <w:p w14:paraId="39B9F904" w14:textId="407ABE8D" w:rsidR="0086161B" w:rsidRPr="000431B3" w:rsidRDefault="0086161B" w:rsidP="0086161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853EF">
              <w:rPr>
                <w:rFonts w:ascii="Arial" w:eastAsia="Calibri" w:hAnsi="Arial" w:cs="Arial"/>
                <w:sz w:val="20"/>
                <w:szCs w:val="20"/>
              </w:rPr>
              <w:t xml:space="preserve">Ownership of team/departmental budget </w:t>
            </w:r>
          </w:p>
          <w:p w14:paraId="46E5D8F2" w14:textId="77777777" w:rsidR="0086161B" w:rsidRPr="001240E6" w:rsidRDefault="0086161B" w:rsidP="0086161B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6161B" w:rsidRPr="00C91CFA" w14:paraId="0D291098" w14:textId="77777777" w:rsidTr="0C51C54C">
        <w:trPr>
          <w:cantSplit/>
          <w:trHeight w:val="1691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479FF168" w14:textId="77777777" w:rsidR="0086161B" w:rsidRPr="00C91CFA" w:rsidRDefault="0086161B" w:rsidP="008616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CFA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895" w:type="dxa"/>
          </w:tcPr>
          <w:p w14:paraId="4BBE4C1B" w14:textId="07A97700" w:rsidR="0086161B" w:rsidRPr="000607C3" w:rsidRDefault="3B9FB831" w:rsidP="0C51C54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C51C54C">
              <w:rPr>
                <w:rFonts w:ascii="Arial" w:eastAsia="Arial" w:hAnsi="Arial" w:cs="Arial"/>
                <w:color w:val="0F151A"/>
                <w:sz w:val="20"/>
                <w:szCs w:val="20"/>
              </w:rPr>
              <w:t>Should be educated to degree-level or equivalent</w:t>
            </w:r>
          </w:p>
          <w:p w14:paraId="501A92E9" w14:textId="63FDCE8E" w:rsidR="0086161B" w:rsidRPr="000607C3" w:rsidRDefault="0086161B" w:rsidP="0086161B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02" w:type="dxa"/>
          </w:tcPr>
          <w:p w14:paraId="2682E6E9" w14:textId="77777777" w:rsidR="0086161B" w:rsidRPr="00A52E7F" w:rsidRDefault="0086161B" w:rsidP="0086161B">
            <w:pPr>
              <w:pStyle w:val="ListParagraph"/>
              <w:numPr>
                <w:ilvl w:val="0"/>
                <w:numId w:val="15"/>
              </w:numPr>
              <w:ind w:left="332" w:hanging="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Planning and p</w:t>
            </w:r>
            <w:r w:rsidRPr="00A52E7F">
              <w:rPr>
                <w:rFonts w:ascii="Arial" w:eastAsia="Calibri" w:hAnsi="Arial" w:cs="Arial"/>
                <w:sz w:val="20"/>
                <w:szCs w:val="20"/>
              </w:rPr>
              <w:t>roject management skills.</w:t>
            </w:r>
          </w:p>
        </w:tc>
        <w:tc>
          <w:tcPr>
            <w:tcW w:w="4200" w:type="dxa"/>
          </w:tcPr>
          <w:p w14:paraId="0094BD9A" w14:textId="77777777" w:rsidR="0086161B" w:rsidRDefault="0086161B" w:rsidP="0086161B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F79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Experience of financial services / insurance in a regulated environment</w:t>
            </w:r>
          </w:p>
          <w:p w14:paraId="06E15290" w14:textId="3080C89C" w:rsidR="0086161B" w:rsidRPr="0007022E" w:rsidRDefault="001F1708" w:rsidP="0007022E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02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Experience of systems development, implementation, and review</w:t>
            </w:r>
          </w:p>
        </w:tc>
      </w:tr>
    </w:tbl>
    <w:p w14:paraId="7B6E461F" w14:textId="6B75553C" w:rsidR="0056188D" w:rsidRDefault="0056188D" w:rsidP="00460874"/>
    <w:p w14:paraId="0F53E00D" w14:textId="77777777" w:rsidR="005250EB" w:rsidRDefault="005250EB" w:rsidP="00460874"/>
    <w:p w14:paraId="642F2669" w14:textId="417E5FCB" w:rsidR="008E173F" w:rsidRDefault="008E173F" w:rsidP="00625B23"/>
    <w:sectPr w:rsidR="008E173F" w:rsidSect="00460874">
      <w:headerReference w:type="default" r:id="rId9"/>
      <w:pgSz w:w="11909" w:h="16834" w:code="9"/>
      <w:pgMar w:top="1162" w:right="1800" w:bottom="1135" w:left="180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CA1A" w14:textId="77777777" w:rsidR="00977683" w:rsidRDefault="00977683" w:rsidP="009E22D0">
      <w:pPr>
        <w:spacing w:after="0" w:line="240" w:lineRule="auto"/>
      </w:pPr>
      <w:r>
        <w:separator/>
      </w:r>
    </w:p>
  </w:endnote>
  <w:endnote w:type="continuationSeparator" w:id="0">
    <w:p w14:paraId="20D05CAE" w14:textId="77777777" w:rsidR="00977683" w:rsidRDefault="00977683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6E65" w14:textId="77777777" w:rsidR="00977683" w:rsidRDefault="00977683" w:rsidP="009E22D0">
      <w:pPr>
        <w:spacing w:after="0" w:line="240" w:lineRule="auto"/>
      </w:pPr>
      <w:r>
        <w:separator/>
      </w:r>
    </w:p>
  </w:footnote>
  <w:footnote w:type="continuationSeparator" w:id="0">
    <w:p w14:paraId="287311B3" w14:textId="77777777" w:rsidR="00977683" w:rsidRDefault="00977683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11EC" w14:textId="42FAF4C4" w:rsidR="009E22D0" w:rsidRDefault="009E22D0" w:rsidP="009E22D0">
    <w:pPr>
      <w:widowControl w:val="0"/>
      <w:autoSpaceDE w:val="0"/>
      <w:autoSpaceDN w:val="0"/>
      <w:adjustRightInd w:val="0"/>
      <w:spacing w:after="0" w:line="469" w:lineRule="exact"/>
      <w:ind w:left="20" w:right="-66"/>
      <w:rPr>
        <w:b/>
        <w:bCs/>
        <w:sz w:val="44"/>
        <w:szCs w:val="44"/>
      </w:rPr>
    </w:pPr>
    <w:r w:rsidRPr="009E22D0">
      <w:rPr>
        <w:b/>
        <w:bCs/>
        <w:sz w:val="44"/>
        <w:szCs w:val="44"/>
      </w:rPr>
      <w:t>ROLE</w:t>
    </w:r>
    <w:r w:rsidRPr="009E22D0">
      <w:rPr>
        <w:b/>
        <w:bCs/>
        <w:spacing w:val="-10"/>
        <w:sz w:val="44"/>
        <w:szCs w:val="44"/>
      </w:rPr>
      <w:t xml:space="preserve"> </w:t>
    </w:r>
    <w:r w:rsidRPr="009E22D0">
      <w:rPr>
        <w:b/>
        <w:bCs/>
        <w:sz w:val="44"/>
        <w:szCs w:val="44"/>
      </w:rPr>
      <w:t>P</w:t>
    </w:r>
    <w:r w:rsidRPr="009E22D0">
      <w:rPr>
        <w:b/>
        <w:bCs/>
        <w:spacing w:val="1"/>
        <w:sz w:val="44"/>
        <w:szCs w:val="44"/>
      </w:rPr>
      <w:t>RO</w:t>
    </w:r>
    <w:r w:rsidRPr="009E22D0">
      <w:rPr>
        <w:b/>
        <w:bCs/>
        <w:sz w:val="44"/>
        <w:szCs w:val="44"/>
      </w:rPr>
      <w:t>FILE</w:t>
    </w:r>
    <w:r w:rsidR="00F5319A">
      <w:rPr>
        <w:b/>
        <w:bCs/>
        <w:noProof/>
        <w:sz w:val="44"/>
        <w:szCs w:val="44"/>
      </w:rPr>
      <w:tab/>
    </w:r>
    <w:r w:rsidR="00F5319A">
      <w:rPr>
        <w:b/>
        <w:bCs/>
        <w:noProof/>
        <w:sz w:val="44"/>
        <w:szCs w:val="44"/>
      </w:rPr>
      <w:tab/>
    </w:r>
    <w:r w:rsidR="00F5319A">
      <w:rPr>
        <w:b/>
        <w:bCs/>
        <w:noProof/>
        <w:sz w:val="44"/>
        <w:szCs w:val="44"/>
      </w:rPr>
      <w:tab/>
    </w:r>
    <w:r w:rsidR="00F5319A">
      <w:rPr>
        <w:b/>
        <w:bCs/>
        <w:noProof/>
        <w:sz w:val="44"/>
        <w:szCs w:val="44"/>
      </w:rPr>
      <w:tab/>
    </w:r>
  </w:p>
  <w:p w14:paraId="13D94302" w14:textId="77777777" w:rsidR="00C91CFA" w:rsidRPr="009E22D0" w:rsidRDefault="00C91CFA" w:rsidP="009E22D0">
    <w:pPr>
      <w:widowControl w:val="0"/>
      <w:autoSpaceDE w:val="0"/>
      <w:autoSpaceDN w:val="0"/>
      <w:adjustRightInd w:val="0"/>
      <w:spacing w:after="0" w:line="469" w:lineRule="exact"/>
      <w:ind w:left="20" w:right="-66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ED9"/>
    <w:multiLevelType w:val="hybridMultilevel"/>
    <w:tmpl w:val="6E6A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249F"/>
    <w:multiLevelType w:val="hybridMultilevel"/>
    <w:tmpl w:val="45DC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63D0"/>
    <w:multiLevelType w:val="hybridMultilevel"/>
    <w:tmpl w:val="BA62E91C"/>
    <w:lvl w:ilvl="0" w:tplc="08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1DCA7337"/>
    <w:multiLevelType w:val="hybridMultilevel"/>
    <w:tmpl w:val="D172B1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90650"/>
    <w:multiLevelType w:val="hybridMultilevel"/>
    <w:tmpl w:val="C8C255C4"/>
    <w:lvl w:ilvl="0" w:tplc="3A88CF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70E56"/>
    <w:multiLevelType w:val="hybridMultilevel"/>
    <w:tmpl w:val="59A6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0CE1"/>
    <w:multiLevelType w:val="hybridMultilevel"/>
    <w:tmpl w:val="9B20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7E0C"/>
    <w:multiLevelType w:val="hybridMultilevel"/>
    <w:tmpl w:val="DFF08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4DB01"/>
    <w:multiLevelType w:val="hybridMultilevel"/>
    <w:tmpl w:val="F426EF28"/>
    <w:lvl w:ilvl="0" w:tplc="7176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47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0F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A0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26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89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40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89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D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94302"/>
    <w:multiLevelType w:val="hybridMultilevel"/>
    <w:tmpl w:val="91F8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7802"/>
    <w:multiLevelType w:val="hybridMultilevel"/>
    <w:tmpl w:val="232A684C"/>
    <w:lvl w:ilvl="0" w:tplc="02560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56F65"/>
    <w:multiLevelType w:val="multilevel"/>
    <w:tmpl w:val="830C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45CC6"/>
    <w:multiLevelType w:val="hybridMultilevel"/>
    <w:tmpl w:val="788ADD9C"/>
    <w:lvl w:ilvl="0" w:tplc="69160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C7C0B"/>
    <w:multiLevelType w:val="hybridMultilevel"/>
    <w:tmpl w:val="1A2A1482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2B3323"/>
    <w:multiLevelType w:val="hybridMultilevel"/>
    <w:tmpl w:val="E6887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D7BF9"/>
    <w:multiLevelType w:val="hybridMultilevel"/>
    <w:tmpl w:val="8584B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85B67"/>
    <w:multiLevelType w:val="hybridMultilevel"/>
    <w:tmpl w:val="7AC4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D7C8D"/>
    <w:multiLevelType w:val="multilevel"/>
    <w:tmpl w:val="DDB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89061E"/>
    <w:multiLevelType w:val="hybridMultilevel"/>
    <w:tmpl w:val="4F725BB8"/>
    <w:lvl w:ilvl="0" w:tplc="3A88CFA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45C67"/>
    <w:multiLevelType w:val="hybridMultilevel"/>
    <w:tmpl w:val="35F2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033C5"/>
    <w:multiLevelType w:val="hybridMultilevel"/>
    <w:tmpl w:val="74F42B2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 w15:restartNumberingAfterBreak="0">
    <w:nsid w:val="6DEB1EF0"/>
    <w:multiLevelType w:val="hybridMultilevel"/>
    <w:tmpl w:val="4404CB1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70B06823"/>
    <w:multiLevelType w:val="hybridMultilevel"/>
    <w:tmpl w:val="8A44BBC4"/>
    <w:lvl w:ilvl="0" w:tplc="624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A5208"/>
    <w:multiLevelType w:val="multilevel"/>
    <w:tmpl w:val="8540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961C6"/>
    <w:multiLevelType w:val="hybridMultilevel"/>
    <w:tmpl w:val="7A569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3"/>
  </w:num>
  <w:num w:numId="5">
    <w:abstractNumId w:val="11"/>
  </w:num>
  <w:num w:numId="6">
    <w:abstractNumId w:val="14"/>
  </w:num>
  <w:num w:numId="7">
    <w:abstractNumId w:val="2"/>
  </w:num>
  <w:num w:numId="8">
    <w:abstractNumId w:val="20"/>
  </w:num>
  <w:num w:numId="9">
    <w:abstractNumId w:val="26"/>
  </w:num>
  <w:num w:numId="10">
    <w:abstractNumId w:val="32"/>
  </w:num>
  <w:num w:numId="11">
    <w:abstractNumId w:val="23"/>
  </w:num>
  <w:num w:numId="12">
    <w:abstractNumId w:val="3"/>
  </w:num>
  <w:num w:numId="13">
    <w:abstractNumId w:val="0"/>
  </w:num>
  <w:num w:numId="14">
    <w:abstractNumId w:val="17"/>
  </w:num>
  <w:num w:numId="15">
    <w:abstractNumId w:val="25"/>
  </w:num>
  <w:num w:numId="16">
    <w:abstractNumId w:val="6"/>
  </w:num>
  <w:num w:numId="17">
    <w:abstractNumId w:val="18"/>
  </w:num>
  <w:num w:numId="18">
    <w:abstractNumId w:val="22"/>
  </w:num>
  <w:num w:numId="19">
    <w:abstractNumId w:val="19"/>
  </w:num>
  <w:num w:numId="20">
    <w:abstractNumId w:val="12"/>
  </w:num>
  <w:num w:numId="21">
    <w:abstractNumId w:val="28"/>
  </w:num>
  <w:num w:numId="22">
    <w:abstractNumId w:val="7"/>
  </w:num>
  <w:num w:numId="23">
    <w:abstractNumId w:val="21"/>
  </w:num>
  <w:num w:numId="24">
    <w:abstractNumId w:val="8"/>
  </w:num>
  <w:num w:numId="25">
    <w:abstractNumId w:val="9"/>
  </w:num>
  <w:num w:numId="26">
    <w:abstractNumId w:val="29"/>
  </w:num>
  <w:num w:numId="27">
    <w:abstractNumId w:val="33"/>
  </w:num>
  <w:num w:numId="28">
    <w:abstractNumId w:val="5"/>
  </w:num>
  <w:num w:numId="29">
    <w:abstractNumId w:val="31"/>
  </w:num>
  <w:num w:numId="30">
    <w:abstractNumId w:val="24"/>
  </w:num>
  <w:num w:numId="31">
    <w:abstractNumId w:val="16"/>
  </w:num>
  <w:num w:numId="32">
    <w:abstractNumId w:val="4"/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D0"/>
    <w:rsid w:val="00004F2E"/>
    <w:rsid w:val="00006FD1"/>
    <w:rsid w:val="000106D7"/>
    <w:rsid w:val="000143AE"/>
    <w:rsid w:val="00015899"/>
    <w:rsid w:val="00022075"/>
    <w:rsid w:val="000431B3"/>
    <w:rsid w:val="00050733"/>
    <w:rsid w:val="00056C6F"/>
    <w:rsid w:val="000607C3"/>
    <w:rsid w:val="0007022E"/>
    <w:rsid w:val="00082F60"/>
    <w:rsid w:val="000E083D"/>
    <w:rsid w:val="000E0981"/>
    <w:rsid w:val="000E547C"/>
    <w:rsid w:val="000E6C84"/>
    <w:rsid w:val="00115473"/>
    <w:rsid w:val="00115826"/>
    <w:rsid w:val="001232B7"/>
    <w:rsid w:val="001240E6"/>
    <w:rsid w:val="00133E15"/>
    <w:rsid w:val="00184496"/>
    <w:rsid w:val="00187984"/>
    <w:rsid w:val="001A50AF"/>
    <w:rsid w:val="001B3A29"/>
    <w:rsid w:val="001B40DE"/>
    <w:rsid w:val="001C137B"/>
    <w:rsid w:val="001D2DB3"/>
    <w:rsid w:val="001E6B48"/>
    <w:rsid w:val="001F1708"/>
    <w:rsid w:val="00233250"/>
    <w:rsid w:val="002435FF"/>
    <w:rsid w:val="00257F12"/>
    <w:rsid w:val="00270339"/>
    <w:rsid w:val="00276C50"/>
    <w:rsid w:val="00280174"/>
    <w:rsid w:val="00283E69"/>
    <w:rsid w:val="00285022"/>
    <w:rsid w:val="00294FF2"/>
    <w:rsid w:val="00296965"/>
    <w:rsid w:val="002B0CE7"/>
    <w:rsid w:val="002D3B1B"/>
    <w:rsid w:val="002F2761"/>
    <w:rsid w:val="00300F1D"/>
    <w:rsid w:val="003317B9"/>
    <w:rsid w:val="003370A5"/>
    <w:rsid w:val="00357FCC"/>
    <w:rsid w:val="0036060B"/>
    <w:rsid w:val="00365994"/>
    <w:rsid w:val="00377E8A"/>
    <w:rsid w:val="00390345"/>
    <w:rsid w:val="00390832"/>
    <w:rsid w:val="003A6804"/>
    <w:rsid w:val="003B6AD3"/>
    <w:rsid w:val="003C1DFA"/>
    <w:rsid w:val="003C4ACD"/>
    <w:rsid w:val="003E10A4"/>
    <w:rsid w:val="003F51DE"/>
    <w:rsid w:val="0040767B"/>
    <w:rsid w:val="004566E1"/>
    <w:rsid w:val="00460874"/>
    <w:rsid w:val="004702D3"/>
    <w:rsid w:val="004940C6"/>
    <w:rsid w:val="004A2CD0"/>
    <w:rsid w:val="004B73BB"/>
    <w:rsid w:val="004C050B"/>
    <w:rsid w:val="005143F3"/>
    <w:rsid w:val="005160BE"/>
    <w:rsid w:val="00520C44"/>
    <w:rsid w:val="00523CBF"/>
    <w:rsid w:val="005250EB"/>
    <w:rsid w:val="00542BF4"/>
    <w:rsid w:val="0056188D"/>
    <w:rsid w:val="005801E4"/>
    <w:rsid w:val="00595B73"/>
    <w:rsid w:val="005B7251"/>
    <w:rsid w:val="005D63FE"/>
    <w:rsid w:val="005F44EF"/>
    <w:rsid w:val="00612EB0"/>
    <w:rsid w:val="0062500E"/>
    <w:rsid w:val="00625B23"/>
    <w:rsid w:val="006357C1"/>
    <w:rsid w:val="00636270"/>
    <w:rsid w:val="00640AFA"/>
    <w:rsid w:val="00641E7C"/>
    <w:rsid w:val="00666EB3"/>
    <w:rsid w:val="006747AA"/>
    <w:rsid w:val="00695851"/>
    <w:rsid w:val="006E4BFC"/>
    <w:rsid w:val="006E4DC8"/>
    <w:rsid w:val="0070366C"/>
    <w:rsid w:val="00703AD1"/>
    <w:rsid w:val="00716D8A"/>
    <w:rsid w:val="00717094"/>
    <w:rsid w:val="00722539"/>
    <w:rsid w:val="00731C47"/>
    <w:rsid w:val="00734DBE"/>
    <w:rsid w:val="00742E3A"/>
    <w:rsid w:val="00754F79"/>
    <w:rsid w:val="00755341"/>
    <w:rsid w:val="007738B6"/>
    <w:rsid w:val="00787C8F"/>
    <w:rsid w:val="007B762E"/>
    <w:rsid w:val="007C63F3"/>
    <w:rsid w:val="007D2455"/>
    <w:rsid w:val="007D50B5"/>
    <w:rsid w:val="007E52D8"/>
    <w:rsid w:val="007F62F3"/>
    <w:rsid w:val="00804426"/>
    <w:rsid w:val="00804F13"/>
    <w:rsid w:val="00813AEB"/>
    <w:rsid w:val="008151EB"/>
    <w:rsid w:val="008278E8"/>
    <w:rsid w:val="00827C6C"/>
    <w:rsid w:val="0084512A"/>
    <w:rsid w:val="0086161B"/>
    <w:rsid w:val="00881EF7"/>
    <w:rsid w:val="00886005"/>
    <w:rsid w:val="00894784"/>
    <w:rsid w:val="008A6CAC"/>
    <w:rsid w:val="008B517E"/>
    <w:rsid w:val="008B5F2D"/>
    <w:rsid w:val="008D01AB"/>
    <w:rsid w:val="008D7CCF"/>
    <w:rsid w:val="008E173F"/>
    <w:rsid w:val="00915F59"/>
    <w:rsid w:val="00936A58"/>
    <w:rsid w:val="00950E74"/>
    <w:rsid w:val="00951380"/>
    <w:rsid w:val="009609C7"/>
    <w:rsid w:val="00964272"/>
    <w:rsid w:val="00977683"/>
    <w:rsid w:val="00980AA5"/>
    <w:rsid w:val="009B1222"/>
    <w:rsid w:val="009D4E93"/>
    <w:rsid w:val="009E22D0"/>
    <w:rsid w:val="00A01EF5"/>
    <w:rsid w:val="00A025ED"/>
    <w:rsid w:val="00A25EC7"/>
    <w:rsid w:val="00A27346"/>
    <w:rsid w:val="00A37A85"/>
    <w:rsid w:val="00A41619"/>
    <w:rsid w:val="00A52E7F"/>
    <w:rsid w:val="00A55CB8"/>
    <w:rsid w:val="00A579DC"/>
    <w:rsid w:val="00A73F03"/>
    <w:rsid w:val="00A81F4C"/>
    <w:rsid w:val="00AA43FB"/>
    <w:rsid w:val="00AA5FA7"/>
    <w:rsid w:val="00AB38B4"/>
    <w:rsid w:val="00AC6785"/>
    <w:rsid w:val="00AE6023"/>
    <w:rsid w:val="00AF79F5"/>
    <w:rsid w:val="00B0447E"/>
    <w:rsid w:val="00B13689"/>
    <w:rsid w:val="00B169B6"/>
    <w:rsid w:val="00B32F75"/>
    <w:rsid w:val="00B7669A"/>
    <w:rsid w:val="00B836E7"/>
    <w:rsid w:val="00B857A5"/>
    <w:rsid w:val="00BF2A68"/>
    <w:rsid w:val="00C02C02"/>
    <w:rsid w:val="00C13E00"/>
    <w:rsid w:val="00C20106"/>
    <w:rsid w:val="00C2443F"/>
    <w:rsid w:val="00C42FA3"/>
    <w:rsid w:val="00C44E6C"/>
    <w:rsid w:val="00C5076C"/>
    <w:rsid w:val="00C6416F"/>
    <w:rsid w:val="00C7798E"/>
    <w:rsid w:val="00C852CC"/>
    <w:rsid w:val="00C91CFA"/>
    <w:rsid w:val="00C94037"/>
    <w:rsid w:val="00CB3286"/>
    <w:rsid w:val="00CC653E"/>
    <w:rsid w:val="00CD01F0"/>
    <w:rsid w:val="00CE3861"/>
    <w:rsid w:val="00D01B9B"/>
    <w:rsid w:val="00D44AD7"/>
    <w:rsid w:val="00D471ED"/>
    <w:rsid w:val="00D51501"/>
    <w:rsid w:val="00D51B4E"/>
    <w:rsid w:val="00DA37B4"/>
    <w:rsid w:val="00DA4E52"/>
    <w:rsid w:val="00DC6AF4"/>
    <w:rsid w:val="00DE0518"/>
    <w:rsid w:val="00DE170D"/>
    <w:rsid w:val="00DE3B3B"/>
    <w:rsid w:val="00E00AEA"/>
    <w:rsid w:val="00E218CF"/>
    <w:rsid w:val="00E2268E"/>
    <w:rsid w:val="00E30FE4"/>
    <w:rsid w:val="00E40AC5"/>
    <w:rsid w:val="00E45CED"/>
    <w:rsid w:val="00E571BB"/>
    <w:rsid w:val="00E633FC"/>
    <w:rsid w:val="00E74E91"/>
    <w:rsid w:val="00E806A1"/>
    <w:rsid w:val="00E8216A"/>
    <w:rsid w:val="00E82D00"/>
    <w:rsid w:val="00E96728"/>
    <w:rsid w:val="00EC4177"/>
    <w:rsid w:val="00ED1955"/>
    <w:rsid w:val="00EF68A2"/>
    <w:rsid w:val="00F003E8"/>
    <w:rsid w:val="00F144EA"/>
    <w:rsid w:val="00F16752"/>
    <w:rsid w:val="00F27978"/>
    <w:rsid w:val="00F51BA3"/>
    <w:rsid w:val="00F5319A"/>
    <w:rsid w:val="00F57CA3"/>
    <w:rsid w:val="00F67518"/>
    <w:rsid w:val="00F8033D"/>
    <w:rsid w:val="00FB4711"/>
    <w:rsid w:val="04D94C0D"/>
    <w:rsid w:val="0AB5F4EB"/>
    <w:rsid w:val="0C51C54C"/>
    <w:rsid w:val="18DE6A4E"/>
    <w:rsid w:val="20164E55"/>
    <w:rsid w:val="2832DF18"/>
    <w:rsid w:val="28B7113A"/>
    <w:rsid w:val="3B8E68FC"/>
    <w:rsid w:val="3B9FB831"/>
    <w:rsid w:val="49649EA1"/>
    <w:rsid w:val="4EEBD300"/>
    <w:rsid w:val="5586B39E"/>
    <w:rsid w:val="5E398690"/>
    <w:rsid w:val="722DC423"/>
    <w:rsid w:val="7DAF27AB"/>
    <w:rsid w:val="7DF09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EEF02"/>
  <w15:docId w15:val="{EBF54F6B-A683-4B7B-92EC-FEFCCDF1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C6C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22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68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68E"/>
    <w:rPr>
      <w:rFonts w:ascii="Calibri" w:hAnsi="Calibri"/>
      <w:b/>
      <w:bCs/>
    </w:rPr>
  </w:style>
  <w:style w:type="table" w:customStyle="1" w:styleId="TableGrid2">
    <w:name w:val="Table Grid2"/>
    <w:basedOn w:val="TableNormal"/>
    <w:next w:val="TableGrid"/>
    <w:uiPriority w:val="59"/>
    <w:rsid w:val="005250EB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79D1F0C7-A248-40AF-946E-3878AFF35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CAA07-05C2-40CA-8F20-9B2A868894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5420</Characters>
  <Application>Microsoft Office Word</Application>
  <DocSecurity>0</DocSecurity>
  <Lines>45</Lines>
  <Paragraphs>12</Paragraphs>
  <ScaleCrop>false</ScaleCrop>
  <Company>Medical Protection Society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Lucy Thompson</cp:lastModifiedBy>
  <cp:revision>2</cp:revision>
  <dcterms:created xsi:type="dcterms:W3CDTF">2022-10-19T18:37:00Z</dcterms:created>
  <dcterms:modified xsi:type="dcterms:W3CDTF">2022-10-19T18:37:00Z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2d2687a6-9d7a-452b-bb82-2ade34d05485</vt:lpwstr>
  </property>
  <property fmtid="{D5CDD505-2E9C-101B-9397-08002B2CF9AE}" pid="3" name="bjSaver">
    <vt:lpwstr>Iyi2XAjFQxsXLJTrdfbd50BQAmr2mN7G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