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260"/>
        <w:gridCol w:w="2127"/>
        <w:gridCol w:w="2976"/>
      </w:tblGrid>
      <w:tr w:rsidR="009B4E4E" w:rsidRPr="00B75089" w14:paraId="682C0973" w14:textId="77777777" w:rsidTr="00624EEC">
        <w:trPr>
          <w:trHeight w:val="447"/>
        </w:trPr>
        <w:tc>
          <w:tcPr>
            <w:tcW w:w="2127" w:type="dxa"/>
            <w:shd w:val="clear" w:color="auto" w:fill="D9D9D9" w:themeFill="background1" w:themeFillShade="D9"/>
          </w:tcPr>
          <w:p w14:paraId="6FCA34E4" w14:textId="77777777" w:rsidR="009B4E4E" w:rsidRPr="00B75089" w:rsidRDefault="009B4E4E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260" w:type="dxa"/>
          </w:tcPr>
          <w:p w14:paraId="3B5BF6FB" w14:textId="77777777" w:rsidR="009B4E4E" w:rsidRPr="00B75089" w:rsidRDefault="009B4E4E" w:rsidP="001817F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1817FC">
              <w:rPr>
                <w:rFonts w:ascii="Arial" w:hAnsi="Arial" w:cs="Arial"/>
                <w:sz w:val="20"/>
                <w:szCs w:val="20"/>
              </w:rPr>
              <w:t>Underwriting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21EC13E" w14:textId="77777777" w:rsidR="009B4E4E" w:rsidRPr="00B75089" w:rsidRDefault="009B4E4E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</w:tcPr>
          <w:p w14:paraId="00E83AFF" w14:textId="77777777" w:rsidR="009B4E4E" w:rsidRPr="0073133A" w:rsidRDefault="009B4E4E" w:rsidP="001817FC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Director – </w:t>
            </w:r>
            <w:r w:rsidR="001817FC"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</w:tr>
      <w:tr w:rsidR="009B4E4E" w:rsidRPr="00B75089" w14:paraId="23A8FC18" w14:textId="77777777" w:rsidTr="00624EEC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C735F2F" w14:textId="77777777" w:rsidR="009B4E4E" w:rsidRPr="00B75089" w:rsidRDefault="009B4E4E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260" w:type="dxa"/>
          </w:tcPr>
          <w:p w14:paraId="711794A5" w14:textId="77777777" w:rsidR="009B4E4E" w:rsidRPr="00B75089" w:rsidRDefault="001817F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0AE6079" w14:textId="77777777" w:rsidR="009B4E4E" w:rsidRPr="00B75089" w:rsidRDefault="009B4E4E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76" w:type="dxa"/>
          </w:tcPr>
          <w:p w14:paraId="2CB7D667" w14:textId="77777777" w:rsidR="009B4E4E" w:rsidRPr="00B75089" w:rsidRDefault="001817F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</w:t>
            </w:r>
          </w:p>
        </w:tc>
      </w:tr>
      <w:tr w:rsidR="00947D6B" w:rsidRPr="00B75089" w14:paraId="1B2DDCBC" w14:textId="77777777" w:rsidTr="00624EEC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4DBF3EC" w14:textId="77777777" w:rsidR="00947D6B" w:rsidRPr="00B75089" w:rsidRDefault="00947D6B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260" w:type="dxa"/>
            <w:vMerge w:val="restart"/>
          </w:tcPr>
          <w:p w14:paraId="72EB7E46" w14:textId="47A0B099" w:rsidR="001817FC" w:rsidRPr="00B75089" w:rsidRDefault="00A17436" w:rsidP="00C257F0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817FC">
              <w:rPr>
                <w:rFonts w:ascii="Arial" w:hAnsi="Arial" w:cs="Arial"/>
                <w:sz w:val="20"/>
                <w:szCs w:val="20"/>
              </w:rPr>
              <w:t>7 Direct</w:t>
            </w:r>
            <w:r w:rsidR="00C257F0">
              <w:rPr>
                <w:rFonts w:ascii="Arial" w:hAnsi="Arial" w:cs="Arial"/>
                <w:sz w:val="20"/>
                <w:szCs w:val="20"/>
              </w:rPr>
              <w:t xml:space="preserve"> reports at Implement level</w:t>
            </w:r>
            <w:r w:rsidR="009F16A8">
              <w:rPr>
                <w:rFonts w:ascii="Arial" w:hAnsi="Arial" w:cs="Arial"/>
                <w:sz w:val="20"/>
                <w:szCs w:val="20"/>
              </w:rPr>
              <w:t xml:space="preserve"> and Guide 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F58450E" w14:textId="77777777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</w:tcPr>
          <w:p w14:paraId="085E0D38" w14:textId="77777777" w:rsidR="00947D6B" w:rsidRPr="00B75089" w:rsidRDefault="001817FC" w:rsidP="00624EEC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leadership –for Underwriting - </w:t>
            </w:r>
            <w:r w:rsidR="00947D6B">
              <w:rPr>
                <w:rFonts w:ascii="Arial" w:hAnsi="Arial" w:cs="Arial"/>
                <w:sz w:val="20"/>
                <w:szCs w:val="20"/>
              </w:rPr>
              <w:t>U</w:t>
            </w:r>
            <w:r w:rsidR="004928DA">
              <w:rPr>
                <w:rFonts w:ascii="Arial" w:hAnsi="Arial" w:cs="Arial"/>
                <w:sz w:val="20"/>
                <w:szCs w:val="20"/>
              </w:rPr>
              <w:t>K</w:t>
            </w:r>
            <w:r w:rsidR="00947D6B">
              <w:rPr>
                <w:rFonts w:ascii="Arial" w:hAnsi="Arial" w:cs="Arial"/>
                <w:sz w:val="20"/>
                <w:szCs w:val="20"/>
              </w:rPr>
              <w:t xml:space="preserve"> and International, discretionary and insurance.</w:t>
            </w:r>
            <w:r w:rsidR="00947D6B" w:rsidRPr="00B75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7D6B" w:rsidRPr="00B75089" w14:paraId="53F46550" w14:textId="77777777" w:rsidTr="00624EEC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4979E566" w14:textId="77777777" w:rsidR="00947D6B" w:rsidRPr="00B75089" w:rsidRDefault="00947D6B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462505F" w14:textId="77777777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AB22FF1" w14:textId="77777777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</w:tcPr>
          <w:p w14:paraId="10E60BD1" w14:textId="2B76729A" w:rsidR="00947D6B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Circa </w:t>
            </w:r>
            <w:r w:rsidR="001817FC">
              <w:rPr>
                <w:rFonts w:ascii="Arial" w:hAnsi="Arial" w:cs="Arial"/>
                <w:sz w:val="20"/>
                <w:szCs w:val="20"/>
              </w:rPr>
              <w:t>1</w:t>
            </w:r>
            <w:r w:rsidR="00B40C65">
              <w:rPr>
                <w:rFonts w:ascii="Arial" w:hAnsi="Arial" w:cs="Arial"/>
                <w:sz w:val="20"/>
                <w:szCs w:val="20"/>
              </w:rPr>
              <w:t>0</w:t>
            </w:r>
            <w:r w:rsidR="001817FC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00FB95DD" w14:textId="7A1754A2" w:rsidR="00C257F0" w:rsidRDefault="00B40C6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c£1m</w:t>
            </w:r>
          </w:p>
          <w:p w14:paraId="3A26E387" w14:textId="6C16D11F" w:rsidR="00C257F0" w:rsidRPr="00B75089" w:rsidRDefault="00B40C6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c£300m</w:t>
            </w:r>
          </w:p>
          <w:p w14:paraId="64600D8A" w14:textId="77777777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D6B" w:rsidRPr="00B75089" w14:paraId="022DB927" w14:textId="77777777" w:rsidTr="00624EEC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1DF8367" w14:textId="77777777" w:rsidR="00947D6B" w:rsidRPr="00B75089" w:rsidRDefault="00947D6B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6C10259" w14:textId="77777777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583FACE" w14:textId="77777777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2976" w:type="dxa"/>
          </w:tcPr>
          <w:p w14:paraId="73398EF1" w14:textId="77777777" w:rsidR="00947D6B" w:rsidRPr="00B75089" w:rsidRDefault="001817FC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2F77">
              <w:rPr>
                <w:rFonts w:ascii="Arial" w:hAnsi="Arial"/>
                <w:color w:val="000000" w:themeColor="text1"/>
                <w:sz w:val="20"/>
              </w:rPr>
              <w:t>Yes via MPS UW</w:t>
            </w:r>
          </w:p>
        </w:tc>
      </w:tr>
      <w:tr w:rsidR="00947D6B" w:rsidRPr="00B75089" w14:paraId="41AFBFBF" w14:textId="77777777" w:rsidTr="00624EEC">
        <w:trPr>
          <w:trHeight w:val="195"/>
        </w:trPr>
        <w:tc>
          <w:tcPr>
            <w:tcW w:w="2127" w:type="dxa"/>
            <w:shd w:val="clear" w:color="auto" w:fill="D9D9D9" w:themeFill="background1" w:themeFillShade="D9"/>
          </w:tcPr>
          <w:p w14:paraId="2F24BB8D" w14:textId="77777777" w:rsidR="00947D6B" w:rsidRPr="00B75089" w:rsidRDefault="00947D6B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260" w:type="dxa"/>
          </w:tcPr>
          <w:p w14:paraId="2F3BD469" w14:textId="758510C9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65B">
              <w:rPr>
                <w:rFonts w:ascii="Arial" w:hAnsi="Arial" w:cs="Arial"/>
                <w:sz w:val="20"/>
                <w:szCs w:val="20"/>
              </w:rPr>
              <w:t>Guide</w:t>
            </w:r>
            <w:r w:rsidR="00EB365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55095DD" w14:textId="77777777"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</w:tcPr>
          <w:p w14:paraId="1F921155" w14:textId="0D635AD0" w:rsidR="00947D6B" w:rsidRPr="00B75089" w:rsidRDefault="00EB365B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 Risk &amp; Exposure </w:t>
            </w:r>
            <w:r w:rsidR="00B704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E5BE260" w14:textId="77777777" w:rsidR="00F5319A" w:rsidRPr="00624EEC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315F3373" w14:textId="77777777" w:rsidTr="00624EEC">
        <w:trPr>
          <w:trHeight w:val="259"/>
        </w:trPr>
        <w:tc>
          <w:tcPr>
            <w:tcW w:w="10509" w:type="dxa"/>
            <w:shd w:val="clear" w:color="auto" w:fill="D9D9D9" w:themeFill="background1" w:themeFillShade="D9"/>
          </w:tcPr>
          <w:p w14:paraId="7608242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B4E4E" w:rsidRPr="00B75089" w14:paraId="02B64C2F" w14:textId="77777777" w:rsidTr="00624EEC">
        <w:trPr>
          <w:trHeight w:val="1329"/>
        </w:trPr>
        <w:tc>
          <w:tcPr>
            <w:tcW w:w="10509" w:type="dxa"/>
          </w:tcPr>
          <w:p w14:paraId="2C458970" w14:textId="315CD216" w:rsidR="009B4E4E" w:rsidRPr="003257BD" w:rsidRDefault="009B4E4E" w:rsidP="001817F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817FC"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Division is</w:t>
            </w:r>
            <w:r w:rsidR="001817FC">
              <w:rPr>
                <w:rFonts w:ascii="Arial" w:hAnsi="Arial" w:cs="Arial"/>
                <w:sz w:val="20"/>
                <w:szCs w:val="20"/>
              </w:rPr>
              <w:t xml:space="preserve"> at the forefront of managing the financial risk of MPS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worldwide. The purpose of the role is to </w:t>
            </w:r>
            <w:r w:rsidR="00A17436">
              <w:rPr>
                <w:rFonts w:ascii="Arial" w:hAnsi="Arial" w:cs="Arial"/>
                <w:sz w:val="20"/>
                <w:szCs w:val="20"/>
              </w:rPr>
              <w:t xml:space="preserve">lead a team </w:t>
            </w:r>
            <w:r w:rsidRPr="00276B46">
              <w:rPr>
                <w:rFonts w:ascii="Arial" w:hAnsi="Arial" w:cs="Arial"/>
                <w:sz w:val="20"/>
                <w:szCs w:val="20"/>
              </w:rPr>
              <w:t>provid</w:t>
            </w:r>
            <w:r w:rsidR="00A17436">
              <w:rPr>
                <w:rFonts w:ascii="Arial" w:hAnsi="Arial" w:cs="Arial"/>
                <w:sz w:val="20"/>
                <w:szCs w:val="20"/>
              </w:rPr>
              <w:t>ing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1817FC">
              <w:rPr>
                <w:rFonts w:ascii="Arial" w:hAnsi="Arial" w:cs="Arial"/>
                <w:sz w:val="20"/>
                <w:szCs w:val="20"/>
              </w:rPr>
              <w:t>Underwriting</w:t>
            </w:r>
            <w:r w:rsidR="0062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for members which is </w:t>
            </w:r>
            <w:r w:rsidRPr="003257BD">
              <w:rPr>
                <w:rFonts w:ascii="Arial" w:hAnsi="Arial" w:cs="Arial"/>
                <w:sz w:val="20"/>
                <w:szCs w:val="20"/>
              </w:rPr>
              <w:t>trusted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valued </w:t>
            </w:r>
            <w:r>
              <w:rPr>
                <w:rFonts w:ascii="Arial" w:hAnsi="Arial" w:cs="Arial"/>
                <w:sz w:val="20"/>
                <w:szCs w:val="20"/>
              </w:rPr>
              <w:t>and provides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fair trea</w:t>
            </w:r>
            <w:r>
              <w:rPr>
                <w:rFonts w:ascii="Arial" w:hAnsi="Arial" w:cs="Arial"/>
                <w:sz w:val="20"/>
                <w:szCs w:val="20"/>
              </w:rPr>
              <w:t>tment and outcomes. This will be achieved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A17436">
              <w:rPr>
                <w:rFonts w:ascii="Arial" w:hAnsi="Arial" w:cs="Arial"/>
                <w:sz w:val="20"/>
                <w:szCs w:val="20"/>
              </w:rPr>
              <w:t xml:space="preserve">building relationships and working with teams across MPS and by 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optimising the capabilities of the </w:t>
            </w:r>
            <w:r w:rsidR="001817FC">
              <w:rPr>
                <w:rFonts w:ascii="Arial" w:hAnsi="Arial" w:cs="Arial"/>
                <w:sz w:val="20"/>
                <w:szCs w:val="20"/>
              </w:rPr>
              <w:t xml:space="preserve">Underwriting </w:t>
            </w:r>
            <w:r w:rsidR="00A17436">
              <w:rPr>
                <w:rFonts w:ascii="Arial" w:hAnsi="Arial" w:cs="Arial"/>
                <w:sz w:val="20"/>
                <w:szCs w:val="20"/>
              </w:rPr>
              <w:t>team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ensuring an efficient and effective </w:t>
            </w:r>
            <w:r w:rsidRPr="00276B46">
              <w:rPr>
                <w:rFonts w:ascii="Arial" w:hAnsi="Arial" w:cs="Arial"/>
                <w:sz w:val="20"/>
                <w:szCs w:val="20"/>
              </w:rPr>
              <w:t>expert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operation</w:t>
            </w:r>
            <w:r w:rsidR="001817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69546EC" w14:textId="77777777" w:rsidR="009E22D0" w:rsidRPr="004F1F28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14:paraId="27658B87" w14:textId="77777777" w:rsidTr="00116121">
        <w:trPr>
          <w:trHeight w:val="310"/>
        </w:trPr>
        <w:tc>
          <w:tcPr>
            <w:tcW w:w="7196" w:type="dxa"/>
            <w:shd w:val="clear" w:color="auto" w:fill="D9D9D9" w:themeFill="background1" w:themeFillShade="D9"/>
          </w:tcPr>
          <w:p w14:paraId="47CE86C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5915763B" w14:textId="77777777" w:rsidR="009E22D0" w:rsidRPr="00B75089" w:rsidRDefault="009E22D0" w:rsidP="004F1F2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5E61D055" w14:textId="77777777" w:rsidTr="00116121">
        <w:trPr>
          <w:trHeight w:val="578"/>
        </w:trPr>
        <w:tc>
          <w:tcPr>
            <w:tcW w:w="7196" w:type="dxa"/>
          </w:tcPr>
          <w:p w14:paraId="7DA68890" w14:textId="77777777" w:rsidR="0056188D" w:rsidRPr="00B75089" w:rsidRDefault="006B43C7" w:rsidP="004F1F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56188D"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Leadership </w:t>
            </w:r>
          </w:p>
          <w:p w14:paraId="78D20A4C" w14:textId="77777777" w:rsidR="009B4E4E" w:rsidRPr="008F6B29" w:rsidRDefault="009B4E4E" w:rsidP="004F1F2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 w:rsidRPr="00B1705A">
              <w:rPr>
                <w:rFonts w:ascii="Arial" w:hAnsi="Arial" w:cs="Arial"/>
                <w:sz w:val="20"/>
                <w:szCs w:val="20"/>
              </w:rPr>
              <w:t xml:space="preserve">Provide leadership across </w:t>
            </w:r>
            <w:r w:rsidR="00EA595D"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="004F1F28">
              <w:rPr>
                <w:rFonts w:ascii="Arial" w:hAnsi="Arial" w:cs="Arial"/>
                <w:sz w:val="20"/>
                <w:szCs w:val="20"/>
              </w:rPr>
              <w:t xml:space="preserve"> and in particular </w:t>
            </w:r>
            <w:r w:rsidR="00EA595D">
              <w:rPr>
                <w:rFonts w:ascii="Arial" w:hAnsi="Arial" w:cs="Arial"/>
                <w:sz w:val="20"/>
                <w:szCs w:val="20"/>
              </w:rPr>
              <w:t>Underwriting</w:t>
            </w:r>
            <w:r w:rsidR="006E6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05A">
              <w:rPr>
                <w:rFonts w:ascii="Arial" w:hAnsi="Arial" w:cs="Arial"/>
                <w:sz w:val="20"/>
                <w:szCs w:val="20"/>
              </w:rPr>
              <w:t>to deliver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overall corporate strategy, </w:t>
            </w:r>
            <w:r w:rsidRPr="00B1705A">
              <w:rPr>
                <w:rFonts w:ascii="Arial" w:hAnsi="Arial" w:cs="Arial"/>
                <w:sz w:val="20"/>
                <w:szCs w:val="20"/>
              </w:rPr>
              <w:t>strategic priorities, business performance, and leadership of teams that reinforces the desired culture</w:t>
            </w:r>
            <w:r w:rsidR="006E6C60">
              <w:rPr>
                <w:rFonts w:ascii="Arial" w:hAnsi="Arial" w:cs="Arial"/>
                <w:sz w:val="20"/>
                <w:szCs w:val="20"/>
              </w:rPr>
              <w:t xml:space="preserve"> and delivery of the strategic priorities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E20DE8" w14:textId="77777777" w:rsidR="009B4E4E" w:rsidRPr="00A948EE" w:rsidRDefault="009B4E4E" w:rsidP="009B4E4E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the development </w:t>
            </w:r>
            <w:r w:rsidRPr="00593866">
              <w:rPr>
                <w:rFonts w:ascii="Arial" w:hAnsi="Arial" w:cs="Arial"/>
                <w:sz w:val="20"/>
                <w:szCs w:val="20"/>
              </w:rPr>
              <w:t xml:space="preserve">and delivery of </w:t>
            </w:r>
            <w:r w:rsidR="00EA595D"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Pr="00593866">
              <w:rPr>
                <w:rFonts w:ascii="Arial" w:hAnsi="Arial" w:cs="Arial"/>
                <w:sz w:val="20"/>
                <w:szCs w:val="20"/>
              </w:rPr>
              <w:t xml:space="preserve"> strategy and plan to time, cost and quality</w:t>
            </w:r>
          </w:p>
          <w:p w14:paraId="773C4057" w14:textId="77777777" w:rsidR="00B3369C" w:rsidRDefault="006E6C60" w:rsidP="006E6C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</w:t>
            </w:r>
            <w:r w:rsidR="009B4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D">
              <w:rPr>
                <w:rFonts w:ascii="Arial" w:hAnsi="Arial" w:cs="Arial"/>
                <w:sz w:val="20"/>
                <w:szCs w:val="20"/>
              </w:rPr>
              <w:t>Underwriting</w:t>
            </w:r>
            <w:r w:rsidR="009B4E4E">
              <w:rPr>
                <w:rFonts w:ascii="Arial" w:hAnsi="Arial" w:cs="Arial"/>
                <w:sz w:val="20"/>
                <w:szCs w:val="20"/>
              </w:rPr>
              <w:t xml:space="preserve"> to drive service standards and deliver on the required KPI’s</w:t>
            </w:r>
            <w:r w:rsidR="004F1F28">
              <w:rPr>
                <w:rFonts w:ascii="Arial" w:hAnsi="Arial" w:cs="Arial"/>
                <w:sz w:val="20"/>
                <w:szCs w:val="20"/>
              </w:rPr>
              <w:t xml:space="preserve"> and financial targets</w:t>
            </w:r>
            <w:r w:rsidR="009B4E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7D393F" w14:textId="77777777" w:rsidR="006E6C60" w:rsidRDefault="00B3369C" w:rsidP="00A1066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Policy Leads to </w:t>
            </w:r>
            <w:r w:rsidR="00A1066F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A1066F" w:rsidRPr="00A1066F">
              <w:rPr>
                <w:rFonts w:ascii="Arial" w:hAnsi="Arial" w:cs="Arial"/>
                <w:sz w:val="20"/>
                <w:szCs w:val="20"/>
              </w:rPr>
              <w:t xml:space="preserve">underwriting philosophy, strategy, risk appetite, technical wordings, and drive improvement opportunities in the likes of wordings, processes, </w:t>
            </w:r>
            <w:proofErr w:type="gramStart"/>
            <w:r w:rsidR="00A1066F" w:rsidRPr="00A1066F">
              <w:rPr>
                <w:rFonts w:ascii="Arial" w:hAnsi="Arial" w:cs="Arial"/>
                <w:sz w:val="20"/>
                <w:szCs w:val="20"/>
              </w:rPr>
              <w:t>pricing</w:t>
            </w:r>
            <w:proofErr w:type="gramEnd"/>
            <w:r w:rsidR="00A1066F" w:rsidRPr="00A1066F">
              <w:rPr>
                <w:rFonts w:ascii="Arial" w:hAnsi="Arial" w:cs="Arial"/>
                <w:sz w:val="20"/>
                <w:szCs w:val="20"/>
              </w:rPr>
              <w:t xml:space="preserve"> or strategy.</w:t>
            </w:r>
          </w:p>
          <w:p w14:paraId="1A957B8E" w14:textId="77777777" w:rsidR="009B4E4E" w:rsidRDefault="009769EC" w:rsidP="00EA595D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0C7">
              <w:rPr>
                <w:rFonts w:ascii="Arial" w:hAnsi="Arial" w:cs="Arial"/>
                <w:sz w:val="20"/>
                <w:szCs w:val="20"/>
              </w:rPr>
              <w:t xml:space="preserve">For activities supporting </w:t>
            </w:r>
            <w:r w:rsidR="00EA595D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FB10C7">
              <w:rPr>
                <w:rFonts w:ascii="Arial" w:hAnsi="Arial" w:cs="Arial"/>
                <w:sz w:val="20"/>
                <w:szCs w:val="20"/>
              </w:rPr>
              <w:t xml:space="preserve"> for Insurance, lead the team to comply with the required processes, </w:t>
            </w:r>
            <w:proofErr w:type="gramStart"/>
            <w:r w:rsidRPr="00FB10C7">
              <w:rPr>
                <w:rFonts w:ascii="Arial" w:hAnsi="Arial" w:cs="Arial"/>
                <w:sz w:val="20"/>
                <w:szCs w:val="20"/>
              </w:rPr>
              <w:t>SLA’s</w:t>
            </w:r>
            <w:proofErr w:type="gramEnd"/>
            <w:r w:rsidRPr="00FB10C7">
              <w:rPr>
                <w:rFonts w:ascii="Arial" w:hAnsi="Arial" w:cs="Arial"/>
                <w:sz w:val="20"/>
                <w:szCs w:val="20"/>
              </w:rPr>
              <w:t xml:space="preserve"> and where applicable, regulatory standards.</w:t>
            </w:r>
          </w:p>
          <w:p w14:paraId="280A189B" w14:textId="61E96B77" w:rsidR="004B6956" w:rsidRPr="009769EC" w:rsidRDefault="004B6956" w:rsidP="00EA595D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4954E5">
              <w:rPr>
                <w:rFonts w:ascii="Arial" w:hAnsi="Arial" w:cs="Arial"/>
                <w:sz w:val="20"/>
                <w:szCs w:val="20"/>
              </w:rPr>
              <w:t xml:space="preserve">underwriting </w:t>
            </w:r>
            <w:r>
              <w:rPr>
                <w:rFonts w:ascii="Arial" w:hAnsi="Arial" w:cs="Arial"/>
                <w:sz w:val="20"/>
                <w:szCs w:val="20"/>
              </w:rPr>
              <w:t xml:space="preserve">leadership across MPS to shape and deliver a capable and compliant insurance platform across all territories, from the perspective of the regulator, </w:t>
            </w:r>
            <w:r w:rsidR="0090185A">
              <w:rPr>
                <w:rFonts w:ascii="Arial" w:hAnsi="Arial" w:cs="Arial"/>
                <w:sz w:val="20"/>
                <w:szCs w:val="20"/>
              </w:rPr>
              <w:t>working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Development</w:t>
            </w:r>
            <w:r w:rsidR="00C50A20">
              <w:rPr>
                <w:rFonts w:ascii="Arial" w:hAnsi="Arial" w:cs="Arial"/>
                <w:sz w:val="20"/>
                <w:szCs w:val="20"/>
              </w:rPr>
              <w:t xml:space="preserve"> &amp; 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Risk &amp; Compliance, Insurance Operations, </w:t>
            </w:r>
            <w:r w:rsidR="0090185A">
              <w:rPr>
                <w:rFonts w:ascii="Arial" w:hAnsi="Arial" w:cs="Arial"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Change, as well as within Commercial Services.</w:t>
            </w:r>
          </w:p>
        </w:tc>
        <w:tc>
          <w:tcPr>
            <w:tcW w:w="3291" w:type="dxa"/>
          </w:tcPr>
          <w:p w14:paraId="265EA94F" w14:textId="77777777"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Financial sustainability Vs plan</w:t>
            </w:r>
          </w:p>
          <w:p w14:paraId="1891FB9E" w14:textId="77777777"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Financial performance Vs plan</w:t>
            </w:r>
          </w:p>
          <w:p w14:paraId="336E8D8D" w14:textId="77777777" w:rsidR="00BF42B0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1C7649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14:paraId="33393A0F" w14:textId="77777777" w:rsidR="00BF42B0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priorities Vs plan</w:t>
            </w:r>
          </w:p>
          <w:p w14:paraId="35751124" w14:textId="77777777"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Plan</w:t>
            </w:r>
            <w:r w:rsidR="004F1F28">
              <w:rPr>
                <w:rFonts w:ascii="Arial" w:hAnsi="Arial" w:cs="Arial"/>
                <w:sz w:val="20"/>
                <w:szCs w:val="20"/>
              </w:rPr>
              <w:t xml:space="preserve">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14:paraId="671F54B0" w14:textId="77777777"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MP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1C7649">
              <w:rPr>
                <w:rFonts w:ascii="Arial" w:hAnsi="Arial" w:cs="Arial"/>
                <w:sz w:val="20"/>
                <w:szCs w:val="20"/>
              </w:rPr>
              <w:t>S engagement index Vs plan</w:t>
            </w:r>
          </w:p>
          <w:p w14:paraId="3800D022" w14:textId="77777777" w:rsidR="009E22D0" w:rsidRDefault="00BF42B0" w:rsidP="004F1F2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MP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1C7649">
              <w:rPr>
                <w:rFonts w:ascii="Arial" w:hAnsi="Arial" w:cs="Arial"/>
                <w:sz w:val="20"/>
                <w:szCs w:val="20"/>
              </w:rPr>
              <w:t>S leadership index Vs plan</w:t>
            </w:r>
          </w:p>
          <w:p w14:paraId="123D8D48" w14:textId="77777777" w:rsidR="00845CB1" w:rsidRPr="00B75089" w:rsidRDefault="00845CB1" w:rsidP="004F1F2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Feedback</w:t>
            </w:r>
          </w:p>
        </w:tc>
      </w:tr>
      <w:tr w:rsidR="009E22D0" w:rsidRPr="00B75089" w14:paraId="3839A8D8" w14:textId="77777777" w:rsidTr="00116121">
        <w:trPr>
          <w:trHeight w:val="578"/>
        </w:trPr>
        <w:tc>
          <w:tcPr>
            <w:tcW w:w="7196" w:type="dxa"/>
          </w:tcPr>
          <w:p w14:paraId="69822A2A" w14:textId="77777777" w:rsidR="009E22D0" w:rsidRDefault="009E22D0" w:rsidP="004F1F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0F89D251" w14:textId="66A6ECDF" w:rsidR="00FB10C7" w:rsidRPr="00B40C65" w:rsidRDefault="004F1F2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C65">
              <w:rPr>
                <w:rFonts w:ascii="Arial" w:hAnsi="Arial" w:cs="Arial"/>
                <w:sz w:val="20"/>
                <w:szCs w:val="20"/>
              </w:rPr>
              <w:t xml:space="preserve">Set and deliver the </w:t>
            </w:r>
            <w:proofErr w:type="gramStart"/>
            <w:r w:rsidR="000F29E8" w:rsidRPr="00B40C65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B40C65">
              <w:rPr>
                <w:rFonts w:ascii="Arial" w:hAnsi="Arial" w:cs="Arial"/>
                <w:sz w:val="20"/>
                <w:szCs w:val="20"/>
              </w:rPr>
              <w:t xml:space="preserve">  budget</w:t>
            </w:r>
            <w:proofErr w:type="gramEnd"/>
            <w:r w:rsidRPr="00B40C65">
              <w:rPr>
                <w:rFonts w:ascii="Arial" w:hAnsi="Arial" w:cs="Arial"/>
                <w:sz w:val="20"/>
                <w:szCs w:val="20"/>
              </w:rPr>
              <w:t xml:space="preserve">, ensuring an efficient and effective operating model which minimises cost and maximises financial sustainability without compromising the member experience. </w:t>
            </w:r>
            <w:r w:rsidR="00FB10C7" w:rsidRPr="00B40C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562686" w14:textId="77777777" w:rsidR="009E22D0" w:rsidRDefault="00FB10C7" w:rsidP="000F29E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the centralised BI/MI team to define and produce </w:t>
            </w:r>
            <w:r w:rsidRPr="00F35A13">
              <w:rPr>
                <w:rFonts w:ascii="Arial" w:hAnsi="Arial" w:cs="Arial"/>
                <w:sz w:val="20"/>
                <w:szCs w:val="20"/>
              </w:rPr>
              <w:t>operational metrics</w:t>
            </w:r>
            <w:r w:rsidR="00116121">
              <w:rPr>
                <w:rFonts w:ascii="Arial" w:hAnsi="Arial" w:cs="Arial"/>
                <w:sz w:val="20"/>
                <w:szCs w:val="20"/>
              </w:rPr>
              <w:t xml:space="preserve"> and insight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 supports the delivery of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an effective and efficient </w:t>
            </w:r>
            <w:r w:rsidR="000F29E8">
              <w:rPr>
                <w:rFonts w:ascii="Arial" w:hAnsi="Arial" w:cs="Arial"/>
                <w:sz w:val="20"/>
                <w:szCs w:val="20"/>
              </w:rPr>
              <w:t>underwriting operation.</w:t>
            </w:r>
          </w:p>
          <w:p w14:paraId="4510A5E4" w14:textId="77777777" w:rsidR="00456D79" w:rsidRPr="00A74163" w:rsidRDefault="00456D79" w:rsidP="000F29E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appropriate underwriting input to pricing for enhancements or discounts via system or off-system initiatives</w:t>
            </w:r>
          </w:p>
        </w:tc>
        <w:tc>
          <w:tcPr>
            <w:tcW w:w="3291" w:type="dxa"/>
          </w:tcPr>
          <w:p w14:paraId="2AB8F30C" w14:textId="77777777" w:rsidR="00BF42B0" w:rsidRDefault="00BF42B0" w:rsidP="00BF42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1450D753" w14:textId="77777777" w:rsidR="008F6B29" w:rsidRDefault="00BF42B0" w:rsidP="008F6B2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Productivity measures Vs Plan</w:t>
            </w:r>
          </w:p>
          <w:p w14:paraId="7C6134F5" w14:textId="77777777" w:rsidR="008F6B29" w:rsidRPr="00B75089" w:rsidRDefault="008F6B29" w:rsidP="00456D79">
            <w:pPr>
              <w:pStyle w:val="ListParagraph"/>
              <w:spacing w:before="0" w:beforeAutospacing="0" w:after="0" w:afterAutospacing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7DBC505" w14:textId="77777777" w:rsidTr="00116121">
        <w:trPr>
          <w:trHeight w:val="578"/>
        </w:trPr>
        <w:tc>
          <w:tcPr>
            <w:tcW w:w="7196" w:type="dxa"/>
          </w:tcPr>
          <w:p w14:paraId="170F3A77" w14:textId="77777777" w:rsidR="009E22D0" w:rsidRDefault="009E22D0" w:rsidP="00A741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E42B275" w14:textId="77777777" w:rsidR="008F6B29" w:rsidRDefault="00BF42B0" w:rsidP="008F6B2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8D">
              <w:rPr>
                <w:rFonts w:ascii="Arial" w:hAnsi="Arial" w:cs="Arial"/>
                <w:sz w:val="20"/>
                <w:szCs w:val="20"/>
              </w:rPr>
              <w:lastRenderedPageBreak/>
              <w:t xml:space="preserve">Lead 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the management of </w:t>
            </w:r>
            <w:r w:rsidR="00456D79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to ensure fair treatment and outcomes for members and compliance with associated policies and standards set out by Council, its </w:t>
            </w:r>
            <w:proofErr w:type="gramStart"/>
            <w:r w:rsidRPr="00F35A13">
              <w:rPr>
                <w:rFonts w:ascii="Arial" w:hAnsi="Arial" w:cs="Arial"/>
                <w:sz w:val="20"/>
                <w:szCs w:val="20"/>
              </w:rPr>
              <w:t>committees</w:t>
            </w:r>
            <w:proofErr w:type="gramEnd"/>
            <w:r w:rsidRPr="00F35A13">
              <w:rPr>
                <w:rFonts w:ascii="Arial" w:hAnsi="Arial" w:cs="Arial"/>
                <w:sz w:val="20"/>
                <w:szCs w:val="20"/>
              </w:rPr>
              <w:t xml:space="preserve"> and delegated authorities.</w:t>
            </w:r>
          </w:p>
          <w:p w14:paraId="1FC51A6F" w14:textId="77777777" w:rsidR="00BF42B0" w:rsidRDefault="00BF42B0" w:rsidP="00BF42B0">
            <w:pPr>
              <w:pStyle w:val="CommentText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200F33">
              <w:rPr>
                <w:rFonts w:ascii="Arial" w:hAnsi="Arial" w:cs="Arial"/>
              </w:rPr>
              <w:t>Establish a culture and capability in Lean / continuous improvement</w:t>
            </w:r>
            <w:r w:rsidRPr="00200F33">
              <w:rPr>
                <w:rFonts w:ascii="Arial" w:hAnsi="Arial" w:cs="Arial"/>
                <w:color w:val="000000"/>
              </w:rPr>
              <w:t xml:space="preserve"> to drive operational efficiency and great member experiences and outcomes</w:t>
            </w:r>
          </w:p>
          <w:p w14:paraId="6793C553" w14:textId="2CDA1D8D" w:rsidR="00F71034" w:rsidRPr="00B3369C" w:rsidRDefault="00A17436" w:rsidP="00BF42B0">
            <w:pPr>
              <w:pStyle w:val="CommentText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Lead </w:t>
            </w:r>
            <w:r w:rsidR="00F71034">
              <w:rPr>
                <w:rFonts w:ascii="Arial" w:hAnsi="Arial" w:cs="Arial"/>
              </w:rPr>
              <w:t xml:space="preserve">the </w:t>
            </w:r>
            <w:r w:rsidR="00456D79">
              <w:rPr>
                <w:rFonts w:ascii="Arial" w:hAnsi="Arial" w:cs="Arial"/>
              </w:rPr>
              <w:t>Underwriting</w:t>
            </w:r>
            <w:r w:rsidR="00F71034">
              <w:rPr>
                <w:rFonts w:ascii="Arial" w:hAnsi="Arial" w:cs="Arial"/>
              </w:rPr>
              <w:t xml:space="preserve"> teams to ensure they are integrated across MPS and can apply their expertise to enhance member outcomes</w:t>
            </w:r>
          </w:p>
          <w:p w14:paraId="2B05F96A" w14:textId="5F9E9629" w:rsidR="00B3369C" w:rsidRPr="00DB1E00" w:rsidRDefault="00B3369C" w:rsidP="00BF42B0">
            <w:pPr>
              <w:pStyle w:val="CommentText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Maintain excellent </w:t>
            </w:r>
            <w:proofErr w:type="gramStart"/>
            <w:r>
              <w:rPr>
                <w:rFonts w:ascii="Arial" w:hAnsi="Arial" w:cs="Arial"/>
              </w:rPr>
              <w:t>relationship</w:t>
            </w:r>
            <w:r w:rsidR="00A1743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8C0AEA">
              <w:rPr>
                <w:rFonts w:ascii="Arial" w:hAnsi="Arial" w:cs="Arial"/>
              </w:rPr>
              <w:t xml:space="preserve"> </w:t>
            </w:r>
            <w:r w:rsidR="00A17436">
              <w:rPr>
                <w:rFonts w:ascii="Arial" w:hAnsi="Arial" w:cs="Arial"/>
              </w:rPr>
              <w:t>across</w:t>
            </w:r>
            <w:proofErr w:type="gramEnd"/>
            <w:r w:rsidR="00A17436">
              <w:rPr>
                <w:rFonts w:ascii="Arial" w:hAnsi="Arial" w:cs="Arial"/>
              </w:rPr>
              <w:t xml:space="preserve"> all divisions to ensure all are aligned in our Member First ambition</w:t>
            </w:r>
          </w:p>
          <w:p w14:paraId="674A9C1F" w14:textId="07D838F0" w:rsidR="00981223" w:rsidRPr="00200F33" w:rsidRDefault="00981223" w:rsidP="00BF42B0">
            <w:pPr>
              <w:pStyle w:val="CommentText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excellent relationship with Business Development &amp; Engagement, with a view to optimising their insurance capability as we transition from discretionary to regulatory products.</w:t>
            </w:r>
          </w:p>
          <w:p w14:paraId="1F3E1F71" w14:textId="77777777" w:rsidR="00BF42B0" w:rsidRPr="00F71034" w:rsidRDefault="00BF42B0" w:rsidP="00456D79">
            <w:pPr>
              <w:pStyle w:val="CommentText"/>
              <w:spacing w:before="0" w:beforeAutospacing="0" w:after="0" w:afterAutospacing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14:paraId="2D48F3EA" w14:textId="77777777" w:rsidR="00BF42B0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62C224E2" w14:textId="77777777" w:rsidR="00BF42B0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14:paraId="4D0DD9E0" w14:textId="77777777" w:rsidR="00BF42B0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Member feedback</w:t>
            </w:r>
          </w:p>
          <w:p w14:paraId="276C562B" w14:textId="77777777" w:rsidR="00BF42B0" w:rsidRPr="00FD6286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023289C4" w14:textId="77777777" w:rsidR="009E22D0" w:rsidRPr="00B75089" w:rsidRDefault="009E22D0" w:rsidP="005E63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55755EA" w14:textId="77777777" w:rsidTr="00116121">
        <w:trPr>
          <w:trHeight w:val="591"/>
        </w:trPr>
        <w:tc>
          <w:tcPr>
            <w:tcW w:w="7196" w:type="dxa"/>
          </w:tcPr>
          <w:p w14:paraId="75224016" w14:textId="77777777" w:rsidR="009E22D0" w:rsidRDefault="009E22D0" w:rsidP="00F710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3E0172B8" w14:textId="77777777" w:rsidR="00BF42B0" w:rsidRDefault="00BF42B0" w:rsidP="00F71034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81B">
              <w:rPr>
                <w:rFonts w:ascii="Arial" w:hAnsi="Arial" w:cs="Arial"/>
                <w:sz w:val="20"/>
                <w:szCs w:val="20"/>
              </w:rPr>
              <w:t xml:space="preserve">strong leadership 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resourcing, 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training, competence, </w:t>
            </w:r>
            <w:proofErr w:type="gramStart"/>
            <w:r w:rsidRPr="00200F33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 w:rsidRPr="00200F33">
              <w:rPr>
                <w:rFonts w:ascii="Arial" w:hAnsi="Arial" w:cs="Arial"/>
                <w:sz w:val="20"/>
                <w:szCs w:val="20"/>
              </w:rPr>
              <w:t xml:space="preserve"> and engagement of all employees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034">
              <w:rPr>
                <w:rFonts w:ascii="Arial" w:hAnsi="Arial" w:cs="Arial"/>
                <w:sz w:val="20"/>
                <w:szCs w:val="20"/>
              </w:rPr>
              <w:t>the department</w:t>
            </w:r>
            <w:r w:rsidR="00EE4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F33">
              <w:rPr>
                <w:rFonts w:ascii="Arial" w:hAnsi="Arial" w:cs="Arial"/>
                <w:sz w:val="20"/>
                <w:szCs w:val="20"/>
              </w:rPr>
              <w:t>ensuring they have clarity on their accountabilities and comply with all governance, policy standards and processes.</w:t>
            </w:r>
          </w:p>
          <w:p w14:paraId="589AD7E1" w14:textId="77777777" w:rsidR="00FB10C7" w:rsidRDefault="00BF42B0" w:rsidP="00FB10C7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 xml:space="preserve">Build a strong pipeline of talent and succession across </w:t>
            </w:r>
            <w:r w:rsidR="00456D79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BF42B0">
              <w:rPr>
                <w:rFonts w:ascii="Arial" w:hAnsi="Arial" w:cs="Arial"/>
                <w:sz w:val="20"/>
                <w:szCs w:val="20"/>
              </w:rPr>
              <w:t xml:space="preserve"> for the benefit of MPS which will mitigate workforce planning risks and maximises the performance and potential of employees.</w:t>
            </w:r>
          </w:p>
          <w:p w14:paraId="172F5783" w14:textId="5788ED00" w:rsidR="00B40C65" w:rsidRDefault="00456D79" w:rsidP="00F16A63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D79">
              <w:rPr>
                <w:rFonts w:ascii="Arial" w:hAnsi="Arial" w:cs="Arial"/>
                <w:sz w:val="20"/>
                <w:szCs w:val="20"/>
              </w:rPr>
              <w:t>Set levels of delegated underwritin</w:t>
            </w:r>
            <w:r w:rsidR="00730D43">
              <w:rPr>
                <w:rFonts w:ascii="Arial" w:hAnsi="Arial" w:cs="Arial"/>
                <w:sz w:val="20"/>
                <w:szCs w:val="20"/>
              </w:rPr>
              <w:t>g authority within MPS and work</w:t>
            </w:r>
            <w:r w:rsidRPr="00456D79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Underwriting </w:t>
            </w:r>
            <w:r w:rsidR="00A17436">
              <w:rPr>
                <w:rFonts w:ascii="Arial" w:hAnsi="Arial" w:cs="Arial"/>
                <w:sz w:val="20"/>
                <w:szCs w:val="20"/>
              </w:rPr>
              <w:t xml:space="preserve">Oversight </w:t>
            </w: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Pr="00456D79">
              <w:rPr>
                <w:rFonts w:ascii="Arial" w:hAnsi="Arial" w:cs="Arial"/>
                <w:sz w:val="20"/>
                <w:szCs w:val="20"/>
              </w:rPr>
              <w:t xml:space="preserve"> to monitor compliance t</w:t>
            </w:r>
            <w:r w:rsidR="00F16A63">
              <w:rPr>
                <w:rFonts w:ascii="Arial" w:hAnsi="Arial" w:cs="Arial"/>
                <w:sz w:val="20"/>
                <w:szCs w:val="20"/>
              </w:rPr>
              <w:t>o the delegated authority matrix</w:t>
            </w:r>
          </w:p>
          <w:p w14:paraId="1AF28187" w14:textId="26D37E58" w:rsidR="00981223" w:rsidRPr="00876E5C" w:rsidRDefault="00981223" w:rsidP="00876E5C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E5C">
              <w:rPr>
                <w:rFonts w:ascii="Arial" w:hAnsi="Arial" w:cs="Arial"/>
                <w:sz w:val="20"/>
                <w:szCs w:val="20"/>
              </w:rPr>
              <w:t xml:space="preserve">Provide strong leadership </w:t>
            </w:r>
            <w:r w:rsidR="00A17436">
              <w:rPr>
                <w:rFonts w:ascii="Arial" w:hAnsi="Arial" w:cs="Arial"/>
                <w:sz w:val="20"/>
                <w:szCs w:val="20"/>
              </w:rPr>
              <w:t xml:space="preserve">and build relationships </w:t>
            </w:r>
            <w:r w:rsidRPr="00876E5C">
              <w:rPr>
                <w:rFonts w:ascii="Arial" w:hAnsi="Arial" w:cs="Arial"/>
                <w:sz w:val="20"/>
                <w:szCs w:val="20"/>
              </w:rPr>
              <w:t>across MPS to ensure that Underwriting is fully understood by all divisions as a key area of focus in the regulated entity.</w:t>
            </w:r>
          </w:p>
          <w:p w14:paraId="33DDED87" w14:textId="77777777" w:rsidR="006A12B9" w:rsidRPr="00DB1E00" w:rsidRDefault="006A12B9" w:rsidP="0090185A">
            <w:pPr>
              <w:pStyle w:val="ListParagraph"/>
              <w:spacing w:beforeAutospacing="0" w:afterAutospacing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EE2843" w14:textId="77777777" w:rsidR="00BF42B0" w:rsidRPr="00BF42B0" w:rsidRDefault="00BF42B0" w:rsidP="00456D79">
            <w:pPr>
              <w:pStyle w:val="ListParagraph"/>
              <w:spacing w:beforeAutospacing="0" w:afterAutospacing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09344F3" w14:textId="77777777" w:rsidR="00CD0167" w:rsidRDefault="00CD0167" w:rsidP="0063177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survey results – leadership, engagement, wellbeing and diversity and inclusion</w:t>
            </w:r>
          </w:p>
          <w:p w14:paraId="4F9731CE" w14:textId="77777777" w:rsidR="00BF42B0" w:rsidRPr="0073133A" w:rsidRDefault="00BF42B0" w:rsidP="0063177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3E78BA03" w14:textId="17584897" w:rsidR="00CD0167" w:rsidRPr="00876E5C" w:rsidRDefault="00BF42B0" w:rsidP="00CD016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40F9419F" w14:textId="77777777" w:rsidR="00116121" w:rsidRPr="00B75089" w:rsidRDefault="00116121" w:rsidP="00730D43">
            <w:pPr>
              <w:pStyle w:val="ListParagraph"/>
              <w:tabs>
                <w:tab w:val="left" w:pos="3145"/>
              </w:tabs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5382AC0" w14:textId="77777777" w:rsidTr="00116121">
        <w:trPr>
          <w:trHeight w:val="591"/>
        </w:trPr>
        <w:tc>
          <w:tcPr>
            <w:tcW w:w="7196" w:type="dxa"/>
          </w:tcPr>
          <w:p w14:paraId="7287D416" w14:textId="77777777" w:rsidR="009E22D0" w:rsidRPr="00B75089" w:rsidRDefault="009E22D0" w:rsidP="001161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5FE04747" w14:textId="2437EEC5" w:rsidR="00BF42B0" w:rsidRPr="00200F33" w:rsidRDefault="00BF42B0" w:rsidP="00BF42B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 xml:space="preserve">Create an environment where </w:t>
            </w:r>
            <w:r w:rsidR="00116121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recognise the importance of risk identification and management </w:t>
            </w:r>
            <w:r w:rsidR="00981223">
              <w:rPr>
                <w:rFonts w:ascii="Arial" w:hAnsi="Arial" w:cs="Arial"/>
                <w:sz w:val="20"/>
                <w:szCs w:val="20"/>
              </w:rPr>
              <w:t>across MPS</w:t>
            </w:r>
          </w:p>
          <w:p w14:paraId="3A1B4F3A" w14:textId="319EE097" w:rsidR="00BF42B0" w:rsidRPr="00200F33" w:rsidRDefault="00BF42B0" w:rsidP="00BF42B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 xml:space="preserve">Ensure appropriate business processes and controls are in place to manage </w:t>
            </w:r>
            <w:r w:rsidR="00C577BB" w:rsidRPr="00200F3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577BB" w:rsidRPr="00E33F8D">
              <w:rPr>
                <w:rFonts w:ascii="Arial" w:hAnsi="Arial" w:cs="Arial"/>
                <w:sz w:val="20"/>
                <w:szCs w:val="20"/>
              </w:rPr>
              <w:t>Underwriting</w:t>
            </w:r>
            <w:r w:rsidR="00116121">
              <w:rPr>
                <w:rFonts w:ascii="Arial" w:hAnsi="Arial" w:cs="Arial"/>
                <w:sz w:val="20"/>
                <w:szCs w:val="20"/>
              </w:rPr>
              <w:t xml:space="preserve"> department </w:t>
            </w:r>
            <w:r w:rsidRPr="00200F33">
              <w:rPr>
                <w:rFonts w:ascii="Arial" w:hAnsi="Arial" w:cs="Arial"/>
                <w:sz w:val="20"/>
                <w:szCs w:val="20"/>
              </w:rPr>
              <w:t>within risk appetite; comply with policies and regulatory requirements (as applicable)</w:t>
            </w:r>
          </w:p>
          <w:p w14:paraId="44BB3525" w14:textId="5DA2A377" w:rsidR="009E22D0" w:rsidRPr="00B75089" w:rsidRDefault="00BF42B0" w:rsidP="0011612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>Oversee systems for monitoring and reporting accurate and timely servic</w:t>
            </w:r>
            <w:r w:rsidR="00B40C65">
              <w:rPr>
                <w:rFonts w:ascii="Arial" w:hAnsi="Arial" w:cs="Arial"/>
                <w:sz w:val="20"/>
                <w:szCs w:val="20"/>
              </w:rPr>
              <w:t>e</w:t>
            </w:r>
            <w:r w:rsidRPr="00200F33">
              <w:rPr>
                <w:rFonts w:ascii="Arial" w:hAnsi="Arial" w:cs="Arial"/>
                <w:sz w:val="20"/>
                <w:szCs w:val="20"/>
              </w:rPr>
              <w:t>s statistics</w:t>
            </w:r>
            <w:r w:rsidR="00EE4B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6B29">
              <w:rPr>
                <w:rFonts w:ascii="Arial" w:hAnsi="Arial" w:cs="Arial"/>
                <w:sz w:val="20"/>
                <w:szCs w:val="20"/>
              </w:rPr>
              <w:t>complaints data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 providing insight for governance bodies such as reserving, underwriting and reinsurance.</w:t>
            </w:r>
          </w:p>
        </w:tc>
        <w:tc>
          <w:tcPr>
            <w:tcW w:w="3291" w:type="dxa"/>
          </w:tcPr>
          <w:p w14:paraId="5CF29472" w14:textId="77777777" w:rsidR="005E633A" w:rsidRPr="005E633A" w:rsidRDefault="009E22D0" w:rsidP="0063177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135C89B" w14:textId="77777777" w:rsidR="009E22D0" w:rsidRPr="005E633A" w:rsidRDefault="009E22D0" w:rsidP="0063177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675DD16D" w14:textId="77777777" w:rsidR="005E633A" w:rsidRPr="00B75089" w:rsidRDefault="005E633A" w:rsidP="0063177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QA Outcomes</w:t>
            </w:r>
          </w:p>
        </w:tc>
      </w:tr>
    </w:tbl>
    <w:p w14:paraId="26CCCDA9" w14:textId="77777777" w:rsidR="00FB4711" w:rsidRPr="00116121" w:rsidRDefault="00FB471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CBD2084" w14:textId="77777777" w:rsidTr="00116121">
        <w:trPr>
          <w:trHeight w:val="247"/>
        </w:trPr>
        <w:tc>
          <w:tcPr>
            <w:tcW w:w="10490" w:type="dxa"/>
            <w:shd w:val="clear" w:color="auto" w:fill="D9D9D9" w:themeFill="background1" w:themeFillShade="D9"/>
          </w:tcPr>
          <w:p w14:paraId="19FA91E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110316E9" w14:textId="77777777" w:rsidTr="00116121">
        <w:trPr>
          <w:trHeight w:val="1615"/>
        </w:trPr>
        <w:tc>
          <w:tcPr>
            <w:tcW w:w="10490" w:type="dxa"/>
          </w:tcPr>
          <w:p w14:paraId="3E95459D" w14:textId="77777777" w:rsidR="00BF42B0" w:rsidRDefault="00BF42B0" w:rsidP="001161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>Offer meaningful decision points to MPS governance forums to ensure that MPS operates within risk appetite, and decision makers are fully informed and equipped as to where financial opportunities exist.</w:t>
            </w:r>
          </w:p>
          <w:p w14:paraId="7F9C73D2" w14:textId="77777777" w:rsidR="00BF42B0" w:rsidRDefault="00BF42B0" w:rsidP="001161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>As the healthcare and risk management landscape continually changes, keep abreast of evolving legislation and best practice; identify and recommend opportunities for MPS to become more efficient and effective</w:t>
            </w:r>
          </w:p>
          <w:p w14:paraId="30142CB0" w14:textId="77777777" w:rsidR="00BF42B0" w:rsidRPr="00116121" w:rsidRDefault="003D7800" w:rsidP="001161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>Undertake other duties and tasks that from time to time may be required and that are appropriate to the rol</w:t>
            </w:r>
            <w:r w:rsidR="0080643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</w:tbl>
    <w:p w14:paraId="3E929A3F" w14:textId="77777777" w:rsidR="005E633A" w:rsidRPr="00631771" w:rsidRDefault="005E633A" w:rsidP="00116121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0574ACF3" w14:textId="77777777" w:rsidTr="00631771">
        <w:trPr>
          <w:trHeight w:val="287"/>
        </w:trPr>
        <w:tc>
          <w:tcPr>
            <w:tcW w:w="10490" w:type="dxa"/>
            <w:shd w:val="clear" w:color="auto" w:fill="D9D9D9" w:themeFill="background1" w:themeFillShade="D9"/>
          </w:tcPr>
          <w:p w14:paraId="1934462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088134C9" w14:textId="77777777" w:rsidTr="00631771">
        <w:trPr>
          <w:trHeight w:val="344"/>
        </w:trPr>
        <w:tc>
          <w:tcPr>
            <w:tcW w:w="10490" w:type="dxa"/>
          </w:tcPr>
          <w:p w14:paraId="681BAB22" w14:textId="3F37F175" w:rsidR="005542D1" w:rsidRPr="00BF42B0" w:rsidRDefault="00B40C65" w:rsidP="00BF42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a voting member of the following committees – Product, Pricing and Underwriting Committee (PPUC), Insurance Management &amp; Product Oversight Committee (IMPOC) and Underwriting Member and Applicant Risk Committee (UMAR)</w:t>
            </w:r>
          </w:p>
        </w:tc>
      </w:tr>
    </w:tbl>
    <w:p w14:paraId="5FD2B90B" w14:textId="77777777" w:rsidR="005542D1" w:rsidRPr="00631771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22ADAAFA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211B36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C1CA9DE" w14:textId="77777777" w:rsidR="0056188D" w:rsidRPr="00B75089" w:rsidRDefault="00C91CFA" w:rsidP="0063177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74F763D4" w14:textId="77777777" w:rsidTr="00FF16B8">
        <w:trPr>
          <w:trHeight w:val="211"/>
        </w:trPr>
        <w:tc>
          <w:tcPr>
            <w:tcW w:w="6008" w:type="dxa"/>
          </w:tcPr>
          <w:p w14:paraId="7B850013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860CF24" w14:textId="3688D4A4" w:rsidR="0056188D" w:rsidRPr="00B75089" w:rsidRDefault="005E633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40C65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6CADE6CF" w14:textId="77777777" w:rsidTr="00FF16B8">
        <w:trPr>
          <w:trHeight w:val="211"/>
        </w:trPr>
        <w:tc>
          <w:tcPr>
            <w:tcW w:w="6008" w:type="dxa"/>
          </w:tcPr>
          <w:p w14:paraId="51BDAE5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74D6BA16" w14:textId="07C4A853" w:rsidR="004D18E8" w:rsidRPr="00B75089" w:rsidRDefault="00CD0167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40C65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1E375D8D" w14:textId="77777777" w:rsidTr="00FF16B8">
        <w:trPr>
          <w:trHeight w:val="211"/>
        </w:trPr>
        <w:tc>
          <w:tcPr>
            <w:tcW w:w="6008" w:type="dxa"/>
          </w:tcPr>
          <w:p w14:paraId="667C871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2583D60" w14:textId="77777777"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the Organisation</w:t>
            </w:r>
          </w:p>
        </w:tc>
      </w:tr>
      <w:tr w:rsidR="004D18E8" w:rsidRPr="00B75089" w14:paraId="37100A13" w14:textId="77777777" w:rsidTr="00FF16B8">
        <w:trPr>
          <w:trHeight w:val="211"/>
        </w:trPr>
        <w:tc>
          <w:tcPr>
            <w:tcW w:w="6008" w:type="dxa"/>
          </w:tcPr>
          <w:p w14:paraId="4D0C9D4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F96E79" w14:textId="1E7A1D8B" w:rsidR="004D18E8" w:rsidRPr="00B75089" w:rsidRDefault="00CD0167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the Organisation</w:t>
            </w:r>
          </w:p>
        </w:tc>
      </w:tr>
      <w:tr w:rsidR="004D18E8" w:rsidRPr="00B75089" w14:paraId="54644052" w14:textId="77777777" w:rsidTr="00FF16B8">
        <w:trPr>
          <w:trHeight w:val="211"/>
        </w:trPr>
        <w:tc>
          <w:tcPr>
            <w:tcW w:w="6008" w:type="dxa"/>
          </w:tcPr>
          <w:p w14:paraId="7D5F46F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B31E67E" w14:textId="4DCC2979"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40C65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45157A86" w14:textId="77777777" w:rsidTr="00FF16B8">
        <w:trPr>
          <w:trHeight w:val="211"/>
        </w:trPr>
        <w:tc>
          <w:tcPr>
            <w:tcW w:w="6008" w:type="dxa"/>
          </w:tcPr>
          <w:p w14:paraId="25046DB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5F2F7B4" w14:textId="2C5FE7D7" w:rsidR="004D18E8" w:rsidRPr="00B75089" w:rsidRDefault="00CD0167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the Organisation</w:t>
            </w:r>
          </w:p>
        </w:tc>
      </w:tr>
    </w:tbl>
    <w:p w14:paraId="640A411E" w14:textId="082D847C" w:rsidR="005901B7" w:rsidRDefault="005901B7" w:rsidP="00B75089">
      <w:pPr>
        <w:spacing w:line="240" w:lineRule="auto"/>
        <w:rPr>
          <w:rFonts w:ascii="Arial" w:hAnsi="Arial" w:cs="Arial"/>
        </w:rPr>
      </w:pPr>
    </w:p>
    <w:p w14:paraId="5540381A" w14:textId="1BB519FC" w:rsidR="00C257F0" w:rsidRDefault="00C257F0" w:rsidP="00B75089">
      <w:pPr>
        <w:spacing w:line="240" w:lineRule="auto"/>
        <w:rPr>
          <w:rFonts w:ascii="Arial" w:hAnsi="Arial" w:cs="Arial"/>
        </w:rPr>
      </w:pPr>
    </w:p>
    <w:p w14:paraId="0DB2988A" w14:textId="77777777" w:rsidR="00C257F0" w:rsidRDefault="00C257F0" w:rsidP="00B75089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1125" w:tblpY="500"/>
        <w:tblW w:w="10573" w:type="dxa"/>
        <w:tblLayout w:type="fixed"/>
        <w:tblLook w:val="04A0" w:firstRow="1" w:lastRow="0" w:firstColumn="1" w:lastColumn="0" w:noHBand="0" w:noVBand="1"/>
      </w:tblPr>
      <w:tblGrid>
        <w:gridCol w:w="459"/>
        <w:gridCol w:w="2343"/>
        <w:gridCol w:w="3827"/>
        <w:gridCol w:w="3944"/>
      </w:tblGrid>
      <w:tr w:rsidR="005901B7" w:rsidRPr="00B75089" w14:paraId="5319DD46" w14:textId="77777777" w:rsidTr="00631771">
        <w:trPr>
          <w:trHeight w:val="422"/>
        </w:trPr>
        <w:tc>
          <w:tcPr>
            <w:tcW w:w="459" w:type="dxa"/>
            <w:shd w:val="clear" w:color="auto" w:fill="D9D9D9" w:themeFill="background1" w:themeFillShade="D9"/>
          </w:tcPr>
          <w:p w14:paraId="7870FEF3" w14:textId="77777777"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1F1B56D" w14:textId="77777777"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0C9E7E5" w14:textId="77777777"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14:paraId="6CD2191A" w14:textId="77777777"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5901B7" w:rsidRPr="00B75089" w14:paraId="596CA8E0" w14:textId="77777777" w:rsidTr="00631771">
        <w:trPr>
          <w:cantSplit/>
          <w:trHeight w:val="2219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224AB6C0" w14:textId="77777777" w:rsidR="005901B7" w:rsidRPr="00B75089" w:rsidRDefault="00631771" w:rsidP="005901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5901B7" w:rsidRPr="00B75089">
              <w:rPr>
                <w:rFonts w:ascii="Arial" w:hAnsi="Arial" w:cs="Arial"/>
                <w:b/>
                <w:sz w:val="20"/>
                <w:szCs w:val="20"/>
              </w:rPr>
              <w:t>sential</w:t>
            </w:r>
          </w:p>
        </w:tc>
        <w:tc>
          <w:tcPr>
            <w:tcW w:w="2343" w:type="dxa"/>
          </w:tcPr>
          <w:p w14:paraId="2751A1F1" w14:textId="68E6B71D" w:rsidR="00002F28" w:rsidRDefault="0090185A" w:rsidP="00002F28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Knowledge of commercial insurance markets and underwriting practices</w:t>
            </w:r>
            <w:r w:rsidR="001E5755">
              <w:rPr>
                <w:rFonts w:ascii="Arial" w:hAnsi="Arial" w:cs="Arial"/>
                <w:sz w:val="20"/>
                <w:szCs w:val="20"/>
              </w:rPr>
              <w:t>, preferably in the liability sector</w:t>
            </w:r>
          </w:p>
          <w:p w14:paraId="0C750174" w14:textId="77777777" w:rsidR="0090185A" w:rsidRPr="00B704E4" w:rsidRDefault="0090185A" w:rsidP="00B92F77">
            <w:pPr>
              <w:pStyle w:val="ListParagraph"/>
              <w:spacing w:before="0" w:after="0"/>
              <w:ind w:left="326"/>
              <w:rPr>
                <w:rFonts w:ascii="Arial" w:hAnsi="Arial" w:cs="Arial"/>
                <w:sz w:val="20"/>
                <w:szCs w:val="20"/>
              </w:rPr>
            </w:pPr>
          </w:p>
          <w:p w14:paraId="01BE6B41" w14:textId="77777777" w:rsidR="005901B7" w:rsidRPr="0000618E" w:rsidRDefault="005901B7" w:rsidP="00002F28">
            <w:pPr>
              <w:pStyle w:val="ListParagraph"/>
              <w:ind w:left="326"/>
              <w:rPr>
                <w:rFonts w:ascii="Arial" w:hAnsi="Arial" w:cs="Arial"/>
                <w:sz w:val="20"/>
                <w:szCs w:val="20"/>
              </w:rPr>
            </w:pPr>
          </w:p>
          <w:p w14:paraId="012541C8" w14:textId="77777777" w:rsidR="005901B7" w:rsidRDefault="005901B7" w:rsidP="005901B7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0D594CBC" w14:textId="77777777" w:rsidR="005901B7" w:rsidRDefault="005901B7" w:rsidP="005901B7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E17FD0" w14:textId="33B0F550" w:rsidR="00506088" w:rsidRDefault="001E5755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90185A">
              <w:rPr>
                <w:rFonts w:ascii="Arial" w:hAnsi="Arial" w:cs="Arial"/>
                <w:sz w:val="20"/>
                <w:szCs w:val="20"/>
              </w:rPr>
              <w:t>Underwriting assessment of new and renewal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aligned to specified risk appetite</w:t>
            </w:r>
          </w:p>
          <w:p w14:paraId="26BFC685" w14:textId="5C531457" w:rsidR="001E5755" w:rsidRDefault="001E5755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and sign-off of wordings</w:t>
            </w:r>
          </w:p>
          <w:p w14:paraId="26F12C22" w14:textId="28218AC5" w:rsidR="005901B7" w:rsidRPr="00870112" w:rsidRDefault="004A285E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stakeholder management skills – adept at building and maintaining </w:t>
            </w:r>
            <w:r w:rsidR="001E5755">
              <w:rPr>
                <w:rFonts w:ascii="Arial" w:hAnsi="Arial" w:cs="Arial"/>
                <w:sz w:val="20"/>
                <w:szCs w:val="20"/>
              </w:rPr>
              <w:t>internal and external relationships and negotiating optimal outcomes for MPS.</w:t>
            </w:r>
          </w:p>
          <w:p w14:paraId="0D36CAAE" w14:textId="75AFDCF5" w:rsidR="005901B7" w:rsidRDefault="005901B7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 w:rsidRPr="00870112"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 w:rsidR="004A285E">
              <w:rPr>
                <w:rFonts w:ascii="Arial" w:hAnsi="Arial" w:cs="Arial"/>
                <w:sz w:val="20"/>
                <w:szCs w:val="20"/>
              </w:rPr>
              <w:t>skills – ability to motivate and engage with colleagues at all levels within the team.</w:t>
            </w:r>
          </w:p>
          <w:p w14:paraId="226BD779" w14:textId="261CE8F8" w:rsidR="004954E5" w:rsidRDefault="004954E5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analytical skills and numerical aptitude</w:t>
            </w:r>
          </w:p>
          <w:p w14:paraId="49A8EA2C" w14:textId="6805A145" w:rsidR="001E5755" w:rsidRDefault="001E5755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4A285E">
              <w:rPr>
                <w:rFonts w:ascii="Arial" w:hAnsi="Arial" w:cs="Arial"/>
                <w:sz w:val="20"/>
                <w:szCs w:val="20"/>
              </w:rPr>
              <w:t xml:space="preserve">understand and analyse </w:t>
            </w:r>
            <w:r>
              <w:rPr>
                <w:rFonts w:ascii="Arial" w:hAnsi="Arial" w:cs="Arial"/>
                <w:sz w:val="20"/>
                <w:szCs w:val="20"/>
              </w:rPr>
              <w:t xml:space="preserve">MI to support the underwriting teams in assessment of risk,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exposure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14:paraId="14F7A123" w14:textId="77777777" w:rsidR="004954E5" w:rsidRPr="00870112" w:rsidRDefault="004954E5" w:rsidP="004954E5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</w:p>
          <w:p w14:paraId="056CAA73" w14:textId="0A8A906F" w:rsidR="00506088" w:rsidRPr="00870112" w:rsidRDefault="00506088" w:rsidP="00506088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14:paraId="7596C1BA" w14:textId="0B075ADC" w:rsidR="00A17436" w:rsidRPr="00A17436" w:rsidRDefault="00A17436" w:rsidP="005901B7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a</w:t>
            </w:r>
            <w:r w:rsidR="004A285E">
              <w:rPr>
                <w:rFonts w:ascii="Arial" w:hAnsi="Arial" w:cs="Arial"/>
                <w:sz w:val="20"/>
                <w:szCs w:val="20"/>
              </w:rPr>
              <w:t>n underwriting team including resource and performance management and owning people budgets</w:t>
            </w:r>
          </w:p>
          <w:p w14:paraId="4837F53D" w14:textId="77777777" w:rsidR="0061335D" w:rsidRDefault="00631771" w:rsidP="0061335D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training and competence schemes – building capability in a regulated environment.</w:t>
            </w:r>
          </w:p>
          <w:p w14:paraId="7EC151D1" w14:textId="18C623BF" w:rsidR="0061335D" w:rsidRPr="00876E5C" w:rsidRDefault="0061335D" w:rsidP="0061335D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within financial services / insurance in a regulated environment, with Lloyd</w:t>
            </w:r>
            <w:r w:rsidR="00B40C65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experience ideal</w:t>
            </w:r>
          </w:p>
        </w:tc>
      </w:tr>
      <w:tr w:rsidR="005901B7" w:rsidRPr="00B75089" w14:paraId="23675880" w14:textId="77777777" w:rsidTr="00EB365B">
        <w:trPr>
          <w:cantSplit/>
          <w:trHeight w:val="1490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38976D38" w14:textId="77777777" w:rsidR="005901B7" w:rsidRPr="00B75089" w:rsidRDefault="005901B7" w:rsidP="005901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343" w:type="dxa"/>
          </w:tcPr>
          <w:p w14:paraId="46E7653F" w14:textId="77777777" w:rsidR="004A285E" w:rsidRDefault="004A285E" w:rsidP="004A285E">
            <w:pPr>
              <w:pStyle w:val="ListParagraph"/>
              <w:numPr>
                <w:ilvl w:val="0"/>
                <w:numId w:val="25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knowledge of actuarial pricing</w:t>
            </w:r>
          </w:p>
          <w:p w14:paraId="2445E100" w14:textId="2A20C9B8" w:rsidR="00870112" w:rsidRPr="004A285E" w:rsidRDefault="00506088" w:rsidP="004A285E">
            <w:pPr>
              <w:pStyle w:val="ListParagraph"/>
              <w:numPr>
                <w:ilvl w:val="0"/>
                <w:numId w:val="25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 w:rsidRPr="004A285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5901B7" w:rsidRPr="004A285E">
              <w:rPr>
                <w:rFonts w:ascii="Arial" w:eastAsia="Calibri" w:hAnsi="Arial" w:cs="Arial"/>
                <w:sz w:val="20"/>
                <w:szCs w:val="20"/>
              </w:rPr>
              <w:t>CII</w:t>
            </w:r>
            <w:r w:rsidR="00A1066F" w:rsidRPr="004A285E">
              <w:rPr>
                <w:rFonts w:ascii="Arial" w:eastAsia="Calibri" w:hAnsi="Arial" w:cs="Arial"/>
                <w:sz w:val="20"/>
                <w:szCs w:val="20"/>
              </w:rPr>
              <w:t>/FCII</w:t>
            </w:r>
            <w:r w:rsidR="005901B7" w:rsidRPr="004A285E">
              <w:rPr>
                <w:rFonts w:ascii="Arial" w:eastAsia="Calibri" w:hAnsi="Arial" w:cs="Arial"/>
                <w:sz w:val="20"/>
                <w:szCs w:val="20"/>
              </w:rPr>
              <w:t xml:space="preserve"> Qualified (this may become an essential requirement of the role over time)</w:t>
            </w:r>
          </w:p>
          <w:p w14:paraId="27D586CE" w14:textId="368150C4" w:rsidR="009B5CCF" w:rsidRPr="00631771" w:rsidRDefault="009B5CCF" w:rsidP="00002F28">
            <w:pPr>
              <w:pStyle w:val="ListParagraph"/>
              <w:ind w:left="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5CF2A5" w14:textId="3B08D013" w:rsidR="001E5755" w:rsidRPr="004A285E" w:rsidRDefault="001E5755" w:rsidP="001E5755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85E">
              <w:rPr>
                <w:rFonts w:ascii="Arial" w:hAnsi="Arial" w:cs="Arial"/>
                <w:sz w:val="20"/>
                <w:szCs w:val="20"/>
              </w:rPr>
              <w:t>Change management / Projects management /Lean (six sigma) / Continuous Improvement</w:t>
            </w:r>
          </w:p>
          <w:p w14:paraId="3DD79A7C" w14:textId="77777777" w:rsidR="001E5755" w:rsidRPr="00870112" w:rsidRDefault="001E5755" w:rsidP="001E575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7E30C56" w14:textId="77777777" w:rsidR="001E5755" w:rsidRPr="001E5755" w:rsidRDefault="001E5755" w:rsidP="001E5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B1A69" w14:textId="77777777" w:rsidR="005901B7" w:rsidRPr="00870112" w:rsidRDefault="005901B7" w:rsidP="005901B7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</w:p>
          <w:p w14:paraId="7950EC42" w14:textId="77777777" w:rsidR="005901B7" w:rsidRPr="00870112" w:rsidRDefault="005901B7" w:rsidP="005901B7">
            <w:pPr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4" w:type="dxa"/>
          </w:tcPr>
          <w:p w14:paraId="5D7601F6" w14:textId="637B43B7" w:rsidR="005901B7" w:rsidRPr="004A285E" w:rsidRDefault="005901B7" w:rsidP="004A285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771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506088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63177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06088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631771">
              <w:rPr>
                <w:rFonts w:ascii="Arial" w:hAnsi="Arial" w:cs="Arial"/>
                <w:sz w:val="20"/>
                <w:szCs w:val="20"/>
              </w:rPr>
              <w:t>across different cultures</w:t>
            </w:r>
            <w:r w:rsidR="006133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631771">
              <w:rPr>
                <w:rFonts w:ascii="Arial" w:hAnsi="Arial" w:cs="Arial"/>
                <w:sz w:val="20"/>
                <w:szCs w:val="20"/>
              </w:rPr>
              <w:t xml:space="preserve"> regulatory regimes</w:t>
            </w:r>
            <w:r w:rsidR="006133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361329" w14:textId="11620AA8" w:rsidR="004A285E" w:rsidRDefault="004A285E" w:rsidP="004A285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and Product Development Experience</w:t>
            </w:r>
          </w:p>
          <w:p w14:paraId="793F8161" w14:textId="6D3377D7" w:rsidR="0061335D" w:rsidRPr="00876E5C" w:rsidRDefault="0061335D" w:rsidP="0061335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working</w:t>
            </w:r>
            <w:r w:rsidRPr="00870112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the healthcare sector - </w:t>
            </w:r>
            <w:r w:rsidRPr="00870112">
              <w:rPr>
                <w:rFonts w:ascii="Arial" w:eastAsia="Calibri" w:hAnsi="Arial" w:cs="Arial"/>
                <w:sz w:val="20"/>
                <w:szCs w:val="20"/>
              </w:rPr>
              <w:t xml:space="preserve">medical malpractice and /or </w:t>
            </w:r>
            <w:r>
              <w:rPr>
                <w:rFonts w:ascii="Arial" w:eastAsia="Calibri" w:hAnsi="Arial" w:cs="Arial"/>
                <w:sz w:val="20"/>
                <w:szCs w:val="20"/>
              </w:rPr>
              <w:t>accident and Health</w:t>
            </w:r>
          </w:p>
          <w:p w14:paraId="4AF193FF" w14:textId="77777777" w:rsidR="004A285E" w:rsidRDefault="004A285E" w:rsidP="0061335D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</w:p>
          <w:p w14:paraId="6897D230" w14:textId="3315915A" w:rsidR="004A285E" w:rsidRDefault="004A285E" w:rsidP="004A28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BAF0E7" w14:textId="77777777" w:rsidR="005901B7" w:rsidRPr="00B75089" w:rsidRDefault="005901B7" w:rsidP="00B75089">
      <w:pPr>
        <w:spacing w:line="240" w:lineRule="auto"/>
        <w:rPr>
          <w:rFonts w:ascii="Arial" w:hAnsi="Arial" w:cs="Arial"/>
        </w:rPr>
      </w:pPr>
    </w:p>
    <w:sectPr w:rsidR="005901B7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9D0F" w14:textId="77777777" w:rsidR="00F7231E" w:rsidRDefault="00F7231E" w:rsidP="009E22D0">
      <w:pPr>
        <w:spacing w:after="0" w:line="240" w:lineRule="auto"/>
      </w:pPr>
      <w:r>
        <w:separator/>
      </w:r>
    </w:p>
  </w:endnote>
  <w:endnote w:type="continuationSeparator" w:id="0">
    <w:p w14:paraId="3B20FBFA" w14:textId="77777777" w:rsidR="00F7231E" w:rsidRDefault="00F7231E" w:rsidP="009E22D0">
      <w:pPr>
        <w:spacing w:after="0" w:line="240" w:lineRule="auto"/>
      </w:pPr>
      <w:r>
        <w:continuationSeparator/>
      </w:r>
    </w:p>
  </w:endnote>
  <w:endnote w:type="continuationNotice" w:id="1">
    <w:p w14:paraId="7DAF9D04" w14:textId="77777777" w:rsidR="00F7231E" w:rsidRDefault="00F72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31FE" w14:textId="77777777" w:rsidR="00F7231E" w:rsidRDefault="00F7231E" w:rsidP="009E22D0">
      <w:pPr>
        <w:spacing w:after="0" w:line="240" w:lineRule="auto"/>
      </w:pPr>
      <w:r>
        <w:separator/>
      </w:r>
    </w:p>
  </w:footnote>
  <w:footnote w:type="continuationSeparator" w:id="0">
    <w:p w14:paraId="621D6C60" w14:textId="77777777" w:rsidR="00F7231E" w:rsidRDefault="00F7231E" w:rsidP="009E22D0">
      <w:pPr>
        <w:spacing w:after="0" w:line="240" w:lineRule="auto"/>
      </w:pPr>
      <w:r>
        <w:continuationSeparator/>
      </w:r>
    </w:p>
  </w:footnote>
  <w:footnote w:type="continuationNotice" w:id="1">
    <w:p w14:paraId="59FDBA46" w14:textId="77777777" w:rsidR="00F7231E" w:rsidRDefault="00F72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A049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44D353A0" wp14:editId="7A3C0BAB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53EC"/>
    <w:multiLevelType w:val="hybridMultilevel"/>
    <w:tmpl w:val="B8226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919"/>
    <w:multiLevelType w:val="hybridMultilevel"/>
    <w:tmpl w:val="729C69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122E16F0"/>
    <w:multiLevelType w:val="hybridMultilevel"/>
    <w:tmpl w:val="4698B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964EBF8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6823DA"/>
    <w:multiLevelType w:val="hybridMultilevel"/>
    <w:tmpl w:val="4DA6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6A01"/>
    <w:multiLevelType w:val="hybridMultilevel"/>
    <w:tmpl w:val="E03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1287"/>
    <w:multiLevelType w:val="hybridMultilevel"/>
    <w:tmpl w:val="F980446A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5A26"/>
    <w:multiLevelType w:val="hybridMultilevel"/>
    <w:tmpl w:val="724C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A5A4A"/>
    <w:multiLevelType w:val="hybridMultilevel"/>
    <w:tmpl w:val="1A8CF5E4"/>
    <w:lvl w:ilvl="0" w:tplc="B19E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8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28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8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4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6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80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0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0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EC72756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177C436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102"/>
    <w:multiLevelType w:val="hybridMultilevel"/>
    <w:tmpl w:val="F2C29BD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642C3CC1"/>
    <w:multiLevelType w:val="singleLevel"/>
    <w:tmpl w:val="BA2EF988"/>
    <w:lvl w:ilvl="0">
      <w:start w:val="1"/>
      <w:numFmt w:val="bullet"/>
      <w:pStyle w:val="Continuous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21" w15:restartNumberingAfterBreak="0">
    <w:nsid w:val="681B2FBC"/>
    <w:multiLevelType w:val="hybridMultilevel"/>
    <w:tmpl w:val="052256EE"/>
    <w:lvl w:ilvl="0" w:tplc="08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2" w15:restartNumberingAfterBreak="0">
    <w:nsid w:val="69A82D5B"/>
    <w:multiLevelType w:val="hybridMultilevel"/>
    <w:tmpl w:val="51768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A7680F"/>
    <w:multiLevelType w:val="hybridMultilevel"/>
    <w:tmpl w:val="9228753A"/>
    <w:lvl w:ilvl="0" w:tplc="9C2E3A1C">
      <w:start w:val="2019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80A06"/>
    <w:multiLevelType w:val="hybridMultilevel"/>
    <w:tmpl w:val="8760F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531A"/>
    <w:multiLevelType w:val="hybridMultilevel"/>
    <w:tmpl w:val="8B385078"/>
    <w:lvl w:ilvl="0" w:tplc="9BFE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80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4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A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E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2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0CEF"/>
    <w:multiLevelType w:val="hybridMultilevel"/>
    <w:tmpl w:val="9DF4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16"/>
  </w:num>
  <w:num w:numId="8">
    <w:abstractNumId w:val="24"/>
  </w:num>
  <w:num w:numId="9">
    <w:abstractNumId w:val="28"/>
  </w:num>
  <w:num w:numId="10">
    <w:abstractNumId w:val="17"/>
  </w:num>
  <w:num w:numId="11">
    <w:abstractNumId w:val="9"/>
  </w:num>
  <w:num w:numId="12">
    <w:abstractNumId w:val="18"/>
  </w:num>
  <w:num w:numId="13">
    <w:abstractNumId w:val="0"/>
  </w:num>
  <w:num w:numId="14">
    <w:abstractNumId w:val="25"/>
  </w:num>
  <w:num w:numId="15">
    <w:abstractNumId w:val="26"/>
  </w:num>
  <w:num w:numId="16">
    <w:abstractNumId w:val="7"/>
  </w:num>
  <w:num w:numId="17">
    <w:abstractNumId w:val="29"/>
  </w:num>
  <w:num w:numId="18">
    <w:abstractNumId w:val="22"/>
  </w:num>
  <w:num w:numId="19">
    <w:abstractNumId w:val="11"/>
  </w:num>
  <w:num w:numId="20">
    <w:abstractNumId w:val="8"/>
  </w:num>
  <w:num w:numId="21">
    <w:abstractNumId w:val="4"/>
  </w:num>
  <w:num w:numId="22">
    <w:abstractNumId w:val="20"/>
  </w:num>
  <w:num w:numId="23">
    <w:abstractNumId w:val="19"/>
  </w:num>
  <w:num w:numId="24">
    <w:abstractNumId w:val="2"/>
  </w:num>
  <w:num w:numId="25">
    <w:abstractNumId w:val="16"/>
  </w:num>
  <w:num w:numId="26">
    <w:abstractNumId w:val="14"/>
  </w:num>
  <w:num w:numId="27">
    <w:abstractNumId w:val="23"/>
  </w:num>
  <w:num w:numId="28">
    <w:abstractNumId w:val="1"/>
  </w:num>
  <w:num w:numId="29">
    <w:abstractNumId w:val="21"/>
  </w:num>
  <w:num w:numId="30">
    <w:abstractNumId w:val="5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2F28"/>
    <w:rsid w:val="0000618E"/>
    <w:rsid w:val="00023F30"/>
    <w:rsid w:val="00054740"/>
    <w:rsid w:val="00082F60"/>
    <w:rsid w:val="000E4361"/>
    <w:rsid w:val="000F29E8"/>
    <w:rsid w:val="00116121"/>
    <w:rsid w:val="00161BBB"/>
    <w:rsid w:val="001817FC"/>
    <w:rsid w:val="001E4271"/>
    <w:rsid w:val="001E5755"/>
    <w:rsid w:val="00255027"/>
    <w:rsid w:val="00291D4A"/>
    <w:rsid w:val="002B557F"/>
    <w:rsid w:val="002C1DF8"/>
    <w:rsid w:val="00320667"/>
    <w:rsid w:val="0035508D"/>
    <w:rsid w:val="003D7800"/>
    <w:rsid w:val="003E485D"/>
    <w:rsid w:val="003E5AE3"/>
    <w:rsid w:val="00444388"/>
    <w:rsid w:val="00456D79"/>
    <w:rsid w:val="00465515"/>
    <w:rsid w:val="00487E71"/>
    <w:rsid w:val="004928DA"/>
    <w:rsid w:val="004954E5"/>
    <w:rsid w:val="004A285E"/>
    <w:rsid w:val="004B6956"/>
    <w:rsid w:val="004D18E8"/>
    <w:rsid w:val="004F1F28"/>
    <w:rsid w:val="004F4BE0"/>
    <w:rsid w:val="00506088"/>
    <w:rsid w:val="005542D1"/>
    <w:rsid w:val="0056188D"/>
    <w:rsid w:val="005901B7"/>
    <w:rsid w:val="005B53F6"/>
    <w:rsid w:val="005E633A"/>
    <w:rsid w:val="00605237"/>
    <w:rsid w:val="0061335D"/>
    <w:rsid w:val="006219B1"/>
    <w:rsid w:val="00624E7E"/>
    <w:rsid w:val="00624EEC"/>
    <w:rsid w:val="00631771"/>
    <w:rsid w:val="00666EB3"/>
    <w:rsid w:val="006A12B9"/>
    <w:rsid w:val="006B43C7"/>
    <w:rsid w:val="006E6C60"/>
    <w:rsid w:val="006F3606"/>
    <w:rsid w:val="00711E46"/>
    <w:rsid w:val="00717094"/>
    <w:rsid w:val="00730D43"/>
    <w:rsid w:val="0076743B"/>
    <w:rsid w:val="007921E8"/>
    <w:rsid w:val="007E7CA1"/>
    <w:rsid w:val="00806438"/>
    <w:rsid w:val="00813AEB"/>
    <w:rsid w:val="00831671"/>
    <w:rsid w:val="00845CB1"/>
    <w:rsid w:val="00870112"/>
    <w:rsid w:val="00876E5C"/>
    <w:rsid w:val="008C0AEA"/>
    <w:rsid w:val="008C446E"/>
    <w:rsid w:val="008E34AF"/>
    <w:rsid w:val="008F6B29"/>
    <w:rsid w:val="0090185A"/>
    <w:rsid w:val="00903CBA"/>
    <w:rsid w:val="00947D6B"/>
    <w:rsid w:val="00947FE1"/>
    <w:rsid w:val="00952856"/>
    <w:rsid w:val="009769EC"/>
    <w:rsid w:val="00981223"/>
    <w:rsid w:val="009B4E4E"/>
    <w:rsid w:val="009B5CCF"/>
    <w:rsid w:val="009B652A"/>
    <w:rsid w:val="009C2577"/>
    <w:rsid w:val="009D7ED2"/>
    <w:rsid w:val="009E22D0"/>
    <w:rsid w:val="009F16A8"/>
    <w:rsid w:val="00A1066F"/>
    <w:rsid w:val="00A17436"/>
    <w:rsid w:val="00A21106"/>
    <w:rsid w:val="00A4414A"/>
    <w:rsid w:val="00A732CC"/>
    <w:rsid w:val="00A74163"/>
    <w:rsid w:val="00AD1ECE"/>
    <w:rsid w:val="00AD3060"/>
    <w:rsid w:val="00AE299D"/>
    <w:rsid w:val="00B2779F"/>
    <w:rsid w:val="00B3369C"/>
    <w:rsid w:val="00B36C1B"/>
    <w:rsid w:val="00B40393"/>
    <w:rsid w:val="00B40C65"/>
    <w:rsid w:val="00B704E4"/>
    <w:rsid w:val="00B75089"/>
    <w:rsid w:val="00B760C3"/>
    <w:rsid w:val="00B83CCC"/>
    <w:rsid w:val="00B92F77"/>
    <w:rsid w:val="00BE611B"/>
    <w:rsid w:val="00BF42B0"/>
    <w:rsid w:val="00C257F0"/>
    <w:rsid w:val="00C50A20"/>
    <w:rsid w:val="00C55BE1"/>
    <w:rsid w:val="00C577BB"/>
    <w:rsid w:val="00C91CFA"/>
    <w:rsid w:val="00C92305"/>
    <w:rsid w:val="00CA0786"/>
    <w:rsid w:val="00CA121B"/>
    <w:rsid w:val="00CB43CC"/>
    <w:rsid w:val="00CD0167"/>
    <w:rsid w:val="00D60DA3"/>
    <w:rsid w:val="00DB1E00"/>
    <w:rsid w:val="00E23B0F"/>
    <w:rsid w:val="00E40AC5"/>
    <w:rsid w:val="00EA595D"/>
    <w:rsid w:val="00EB365B"/>
    <w:rsid w:val="00EE4B15"/>
    <w:rsid w:val="00EE4DC3"/>
    <w:rsid w:val="00F00995"/>
    <w:rsid w:val="00F16A63"/>
    <w:rsid w:val="00F43581"/>
    <w:rsid w:val="00F461B9"/>
    <w:rsid w:val="00F5319A"/>
    <w:rsid w:val="00F6146D"/>
    <w:rsid w:val="00F71034"/>
    <w:rsid w:val="00F7231E"/>
    <w:rsid w:val="00F776B6"/>
    <w:rsid w:val="00F935BB"/>
    <w:rsid w:val="00FB10C7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D43180"/>
  <w15:docId w15:val="{4BDB4B5C-DCED-4CE8-8E87-0811570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952856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2856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11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06"/>
    <w:pPr>
      <w:spacing w:before="0" w:beforeAutospacing="0" w:after="200" w:afterAutospacing="0"/>
    </w:pPr>
    <w:rPr>
      <w:rFonts w:ascii="Calibri" w:eastAsia="Times New Roman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06"/>
    <w:rPr>
      <w:rFonts w:ascii="Calibri" w:eastAsiaTheme="minorHAnsi" w:hAnsi="Calibri" w:cstheme="minorBidi"/>
      <w:b/>
      <w:bCs/>
      <w:lang w:eastAsia="en-US"/>
    </w:rPr>
  </w:style>
  <w:style w:type="paragraph" w:customStyle="1" w:styleId="SingleBullet">
    <w:name w:val="Single Bullet"/>
    <w:basedOn w:val="Normal"/>
    <w:next w:val="Normal"/>
    <w:rsid w:val="00BF42B0"/>
    <w:pPr>
      <w:numPr>
        <w:numId w:val="20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ContinuousDash1">
    <w:name w:val="Continuous Dash 1"/>
    <w:basedOn w:val="Normal"/>
    <w:rsid w:val="00BF42B0"/>
    <w:pPr>
      <w:numPr>
        <w:numId w:val="22"/>
      </w:numPr>
      <w:tabs>
        <w:tab w:val="clear" w:pos="1080"/>
        <w:tab w:val="left" w:pos="360"/>
        <w:tab w:val="num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</w:rPr>
  </w:style>
  <w:style w:type="paragraph" w:styleId="Revision">
    <w:name w:val="Revision"/>
    <w:hidden/>
    <w:uiPriority w:val="99"/>
    <w:semiHidden/>
    <w:rsid w:val="00624E7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A0E12CA6-0D95-4FCC-9766-EEB6971F34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6932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Kate Lyon</cp:lastModifiedBy>
  <cp:revision>2</cp:revision>
  <dcterms:created xsi:type="dcterms:W3CDTF">2021-10-19T13:43:00Z</dcterms:created>
  <dcterms:modified xsi:type="dcterms:W3CDTF">2021-10-19T13:43:00Z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230412b6-42f5-4c01-9f28-cf7bc40517e9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