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F5319A" w:rsidRPr="00B75089" w:rsidRDefault="00DF1948" w:rsidP="00F56A7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DF1948">
              <w:rPr>
                <w:rFonts w:ascii="Arial" w:hAnsi="Arial" w:cs="Arial"/>
                <w:sz w:val="20"/>
                <w:szCs w:val="20"/>
              </w:rPr>
              <w:t>Group Risk &amp; Compliance Reporting</w:t>
            </w:r>
            <w:bookmarkStart w:id="0" w:name="_GoBack"/>
            <w:bookmarkEnd w:id="0"/>
            <w:r w:rsidRPr="00DF1948">
              <w:rPr>
                <w:rFonts w:ascii="Arial" w:hAnsi="Arial" w:cs="Arial"/>
                <w:sz w:val="20"/>
                <w:szCs w:val="20"/>
              </w:rPr>
              <w:t xml:space="preserve">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F5319A" w:rsidRPr="00B75089" w:rsidRDefault="00DF194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Group Risk Manager</w:t>
            </w:r>
          </w:p>
        </w:tc>
      </w:tr>
      <w:tr w:rsidR="00F5319A" w:rsidRPr="00B75089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F5319A" w:rsidRPr="00B75089" w:rsidRDefault="0093144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&amp; Compliance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5319A" w:rsidRPr="00B75089" w:rsidRDefault="0093144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</w:tr>
      <w:tr w:rsidR="00F5319A" w:rsidRPr="00B75089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F5319A" w:rsidRPr="00B75089" w:rsidRDefault="00B14771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B75089" w:rsidRPr="00B75089" w:rsidRDefault="00B14771" w:rsidP="00BC2A40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B14771">
              <w:rPr>
                <w:rFonts w:ascii="Arial" w:hAnsi="Arial" w:cs="Arial"/>
                <w:sz w:val="20"/>
                <w:szCs w:val="20"/>
              </w:rPr>
              <w:t>Governance, risk, compliance and control frameworks across the MPS Group (MPS)</w:t>
            </w:r>
          </w:p>
        </w:tc>
      </w:tr>
      <w:tr w:rsidR="00F5319A" w:rsidRPr="00B75089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F5319A" w:rsidRPr="00B75089" w:rsidRDefault="00B1477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BC2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:rsidR="00F5319A" w:rsidRPr="00B75089" w:rsidRDefault="00B1477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:rsidR="00F5319A" w:rsidRPr="00B75089" w:rsidRDefault="00B1477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:rsidR="00F5319A" w:rsidRPr="00B75089" w:rsidRDefault="00A930C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:rsidTr="00BC2A40">
        <w:trPr>
          <w:trHeight w:val="393"/>
        </w:trPr>
        <w:tc>
          <w:tcPr>
            <w:tcW w:w="2127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:rsidR="007E7CA1" w:rsidRPr="00B75089" w:rsidRDefault="00B1477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:rsidR="007E7CA1" w:rsidRPr="00B75089" w:rsidRDefault="00B14771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:rsidR="00F5319A" w:rsidRPr="00B75089" w:rsidRDefault="00F5319A" w:rsidP="00A930C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A930CA">
        <w:trPr>
          <w:trHeight w:val="317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9E22D0">
        <w:trPr>
          <w:trHeight w:val="693"/>
        </w:trPr>
        <w:tc>
          <w:tcPr>
            <w:tcW w:w="10509" w:type="dxa"/>
          </w:tcPr>
          <w:p w:rsidR="009E22D0" w:rsidRPr="00A13F77" w:rsidRDefault="00A13F77" w:rsidP="00A930C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B14771">
              <w:rPr>
                <w:rFonts w:ascii="Arial" w:hAnsi="Arial" w:cs="Arial"/>
                <w:color w:val="000000"/>
                <w:sz w:val="20"/>
                <w:szCs w:val="20"/>
              </w:rPr>
              <w:t>he purpose of the role is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support the </w:t>
            </w:r>
            <w:r w:rsidR="00B14771">
              <w:rPr>
                <w:rFonts w:ascii="Arial" w:hAnsi="Arial" w:cs="Arial"/>
                <w:color w:val="000000"/>
                <w:sz w:val="20"/>
                <w:szCs w:val="20"/>
              </w:rPr>
              <w:t>Risk and Compliance division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</w:t>
            </w:r>
            <w:r w:rsidR="00B6572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delivery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 of risk and compliance</w:t>
            </w:r>
            <w:r w:rsidR="00B65720">
              <w:rPr>
                <w:rFonts w:ascii="Arial" w:hAnsi="Arial" w:cs="Arial"/>
                <w:color w:val="000000"/>
                <w:sz w:val="20"/>
                <w:szCs w:val="20"/>
              </w:rPr>
              <w:t xml:space="preserve"> management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information</w:t>
            </w:r>
            <w:r w:rsidR="00EE7A80">
              <w:rPr>
                <w:rFonts w:ascii="Arial" w:hAnsi="Arial" w:cs="Arial"/>
                <w:color w:val="000000"/>
                <w:sz w:val="20"/>
                <w:szCs w:val="20"/>
              </w:rPr>
              <w:t xml:space="preserve"> (MI)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To develop and manage clear and accurate reporting that facilitates enhanced oversight and quality decision making within MPS. </w:t>
            </w:r>
          </w:p>
        </w:tc>
      </w:tr>
    </w:tbl>
    <w:p w:rsidR="009E22D0" w:rsidRPr="00B75089" w:rsidRDefault="009E22D0" w:rsidP="00A930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196"/>
        <w:gridCol w:w="3291"/>
      </w:tblGrid>
      <w:tr w:rsidR="009E22D0" w:rsidRPr="00B75089" w:rsidTr="00A930CA">
        <w:trPr>
          <w:trHeight w:val="337"/>
        </w:trPr>
        <w:tc>
          <w:tcPr>
            <w:tcW w:w="7196" w:type="dxa"/>
            <w:shd w:val="clear" w:color="auto" w:fill="D9D9D9" w:themeFill="background1" w:themeFillShade="D9"/>
          </w:tcPr>
          <w:p w:rsidR="009E22D0" w:rsidRPr="00B75089" w:rsidRDefault="009E22D0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717094" w:rsidRPr="00B75089" w:rsidRDefault="009E22D0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:rsidR="009E22D0" w:rsidRPr="00B75089" w:rsidRDefault="009E22D0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9CF" w:rsidRPr="00B75089" w:rsidTr="00A930CA">
        <w:trPr>
          <w:trHeight w:val="1353"/>
        </w:trPr>
        <w:tc>
          <w:tcPr>
            <w:tcW w:w="7196" w:type="dxa"/>
          </w:tcPr>
          <w:p w:rsidR="008A69CF" w:rsidRDefault="008A69CF" w:rsidP="00A93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Operational </w:t>
            </w:r>
          </w:p>
          <w:p w:rsidR="00B14771" w:rsidRPr="00F163A9" w:rsidRDefault="00B65720" w:rsidP="00A930CA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of timely </w:t>
            </w:r>
            <w:r w:rsidR="00320D0D"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="00EE7A80"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reporting</w:t>
            </w:r>
          </w:p>
          <w:p w:rsidR="004B37E5" w:rsidRPr="00F163A9" w:rsidRDefault="004B37E5" w:rsidP="00A930CA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to day maintenance of the </w:t>
            </w:r>
            <w:r w:rsidR="00474304">
              <w:rPr>
                <w:rFonts w:ascii="Arial" w:hAnsi="Arial" w:cs="Arial"/>
                <w:sz w:val="20"/>
                <w:szCs w:val="20"/>
              </w:rPr>
              <w:t xml:space="preserve">MPS risk </w:t>
            </w:r>
            <w:r>
              <w:rPr>
                <w:rFonts w:ascii="Arial" w:hAnsi="Arial" w:cs="Arial"/>
                <w:sz w:val="20"/>
                <w:szCs w:val="20"/>
              </w:rPr>
              <w:t>management system</w:t>
            </w:r>
            <w:r w:rsidR="007244F9">
              <w:rPr>
                <w:rFonts w:ascii="Arial" w:hAnsi="Arial" w:cs="Arial"/>
                <w:sz w:val="20"/>
                <w:szCs w:val="20"/>
              </w:rPr>
              <w:t xml:space="preserve"> on behalf of the Division, including user </w:t>
            </w:r>
            <w:r w:rsidR="00F163A9">
              <w:rPr>
                <w:rFonts w:ascii="Arial" w:hAnsi="Arial" w:cs="Arial"/>
                <w:sz w:val="20"/>
                <w:szCs w:val="20"/>
              </w:rPr>
              <w:t>lists</w:t>
            </w:r>
          </w:p>
          <w:p w:rsidR="00875928" w:rsidRPr="00BC2A40" w:rsidRDefault="007244F9" w:rsidP="00A930CA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 as key </w:t>
            </w:r>
            <w:r w:rsidR="00875928">
              <w:rPr>
                <w:rFonts w:ascii="Arial" w:hAnsi="Arial" w:cs="Arial"/>
                <w:sz w:val="20"/>
                <w:szCs w:val="20"/>
              </w:rPr>
              <w:t>liaison with Group IT for system suppor</w:t>
            </w:r>
            <w:r w:rsidR="00A930CA"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</w:tcPr>
          <w:p w:rsidR="00B96975" w:rsidRPr="00F163A9" w:rsidRDefault="00B96975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and</w:t>
            </w:r>
            <w:r w:rsidR="001F6F68">
              <w:rPr>
                <w:rFonts w:ascii="Arial" w:hAnsi="Arial" w:cs="Arial"/>
                <w:sz w:val="20"/>
                <w:szCs w:val="20"/>
              </w:rPr>
              <w:t xml:space="preserve">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reports all delivered within agreed timescales</w:t>
            </w:r>
          </w:p>
          <w:p w:rsidR="00875928" w:rsidRPr="00C30196" w:rsidRDefault="00875928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integrity of the </w:t>
            </w:r>
            <w:r w:rsidR="00DF49DA">
              <w:rPr>
                <w:rFonts w:ascii="Arial" w:hAnsi="Arial" w:cs="Arial"/>
                <w:sz w:val="20"/>
                <w:szCs w:val="20"/>
              </w:rPr>
              <w:t xml:space="preserve">content of the MPS risk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management system </w:t>
            </w:r>
          </w:p>
          <w:p w:rsidR="008A69CF" w:rsidRPr="00BC2A40" w:rsidRDefault="00DF49DA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System </w:t>
            </w:r>
            <w:r w:rsidR="00C30196">
              <w:rPr>
                <w:rFonts w:ascii="Arial" w:eastAsia="Calibri" w:hAnsi="Arial" w:cs="Arial"/>
                <w:sz w:val="20"/>
                <w:szCs w:val="20"/>
              </w:rPr>
              <w:t>user access controls in place and maintained</w:t>
            </w:r>
          </w:p>
        </w:tc>
      </w:tr>
      <w:tr w:rsidR="008A69CF" w:rsidRPr="00B75089" w:rsidTr="00A930CA">
        <w:trPr>
          <w:trHeight w:val="591"/>
        </w:trPr>
        <w:tc>
          <w:tcPr>
            <w:tcW w:w="7196" w:type="dxa"/>
          </w:tcPr>
          <w:p w:rsidR="008A69CF" w:rsidRDefault="00894EF3" w:rsidP="00A93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:rsidR="00894EF3" w:rsidRPr="00BC2A40" w:rsidRDefault="00A930CA" w:rsidP="00A930C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A930CA">
              <w:rPr>
                <w:rFonts w:ascii="Arial" w:hAnsi="Arial" w:cs="Arial"/>
                <w:sz w:val="20"/>
                <w:szCs w:val="20"/>
              </w:rPr>
              <w:t>Ensure that all spend is managed within organisation policy reporting on variance to budget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Risk and Compliance</w:t>
            </w:r>
            <w:r w:rsidRPr="00A930CA">
              <w:rPr>
                <w:rFonts w:ascii="Arial" w:hAnsi="Arial" w:cs="Arial"/>
                <w:sz w:val="20"/>
                <w:szCs w:val="20"/>
              </w:rPr>
              <w:t xml:space="preserve"> leadership team</w:t>
            </w:r>
          </w:p>
        </w:tc>
        <w:tc>
          <w:tcPr>
            <w:tcW w:w="3291" w:type="dxa"/>
          </w:tcPr>
          <w:p w:rsidR="008A69CF" w:rsidRDefault="00BC2A40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BC2A40">
              <w:rPr>
                <w:rFonts w:ascii="Arial" w:eastAsia="Calibri" w:hAnsi="Arial" w:cs="Arial"/>
                <w:sz w:val="20"/>
                <w:szCs w:val="20"/>
              </w:rPr>
              <w:t xml:space="preserve">Expenses and other costs managed within </w:t>
            </w:r>
            <w:r w:rsidR="00320D0D">
              <w:rPr>
                <w:rFonts w:ascii="Arial" w:eastAsia="Calibri" w:hAnsi="Arial" w:cs="Arial"/>
                <w:sz w:val="20"/>
                <w:szCs w:val="20"/>
              </w:rPr>
              <w:t xml:space="preserve">departmental </w:t>
            </w:r>
            <w:r w:rsidR="00B636B6">
              <w:rPr>
                <w:rFonts w:ascii="Arial" w:eastAsia="Calibri" w:hAnsi="Arial" w:cs="Arial"/>
                <w:sz w:val="20"/>
                <w:szCs w:val="20"/>
              </w:rPr>
              <w:t xml:space="preserve"> budget and Group Policy</w:t>
            </w:r>
          </w:p>
        </w:tc>
      </w:tr>
      <w:tr w:rsidR="008A69CF" w:rsidRPr="00B75089" w:rsidTr="00A930CA">
        <w:trPr>
          <w:trHeight w:val="591"/>
        </w:trPr>
        <w:tc>
          <w:tcPr>
            <w:tcW w:w="7196" w:type="dxa"/>
          </w:tcPr>
          <w:p w:rsidR="008A69CF" w:rsidRDefault="00894EF3" w:rsidP="00A93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B14771" w:rsidRPr="002722E5" w:rsidRDefault="00E240FF" w:rsidP="00A930CA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of Conduct R</w:t>
            </w:r>
            <w:r w:rsidR="002722E5">
              <w:rPr>
                <w:rFonts w:ascii="Arial" w:hAnsi="Arial" w:cs="Arial"/>
                <w:sz w:val="20"/>
                <w:szCs w:val="20"/>
              </w:rPr>
              <w:t>isk</w:t>
            </w:r>
            <w:r>
              <w:rPr>
                <w:rFonts w:ascii="Arial" w:hAnsi="Arial" w:cs="Arial"/>
                <w:sz w:val="20"/>
                <w:szCs w:val="20"/>
              </w:rPr>
              <w:t xml:space="preserve">-related MI and </w:t>
            </w:r>
            <w:r w:rsidR="002722E5">
              <w:rPr>
                <w:rFonts w:ascii="Arial" w:hAnsi="Arial" w:cs="Arial"/>
                <w:sz w:val="20"/>
                <w:szCs w:val="20"/>
              </w:rPr>
              <w:t xml:space="preserve">reporting </w:t>
            </w:r>
          </w:p>
          <w:p w:rsidR="002722E5" w:rsidRPr="00487A22" w:rsidRDefault="002722E5" w:rsidP="00A930CA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EF4F66" w:rsidRDefault="00E240FF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Conduct Risk MI and reporting</w:t>
            </w:r>
          </w:p>
        </w:tc>
      </w:tr>
      <w:tr w:rsidR="008A69CF" w:rsidRPr="00B75089" w:rsidTr="00A930CA">
        <w:trPr>
          <w:trHeight w:val="591"/>
        </w:trPr>
        <w:tc>
          <w:tcPr>
            <w:tcW w:w="7196" w:type="dxa"/>
          </w:tcPr>
          <w:p w:rsidR="008A69CF" w:rsidRDefault="00405B2D" w:rsidP="00A93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D30C83" w:rsidRDefault="00DF49DA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design and delivery of training for the MPS risk management system </w:t>
            </w:r>
          </w:p>
          <w:p w:rsidR="00A930CA" w:rsidRPr="00BC2A40" w:rsidRDefault="00A930CA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30CA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</w:tc>
        <w:tc>
          <w:tcPr>
            <w:tcW w:w="3291" w:type="dxa"/>
          </w:tcPr>
          <w:p w:rsidR="008A69CF" w:rsidRDefault="00DF49DA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Competent MPS risk management system users across MPS</w:t>
            </w:r>
          </w:p>
          <w:p w:rsidR="00A930CA" w:rsidRPr="00A930CA" w:rsidRDefault="00A930CA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A930CA">
              <w:rPr>
                <w:rFonts w:ascii="Arial" w:eastAsia="Calibri" w:hAnsi="Arial" w:cs="Arial"/>
                <w:sz w:val="20"/>
                <w:szCs w:val="20"/>
              </w:rPr>
              <w:t>Delivery of Personal Development Plan to plan</w:t>
            </w:r>
          </w:p>
          <w:p w:rsidR="00A930CA" w:rsidRDefault="00A930CA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A930CA">
              <w:rPr>
                <w:rFonts w:ascii="Arial" w:eastAsia="Calibri" w:hAnsi="Arial" w:cs="Arial"/>
                <w:sz w:val="20"/>
                <w:szCs w:val="20"/>
              </w:rPr>
              <w:t>One to one / performance review meetings Vs Plan</w:t>
            </w:r>
          </w:p>
        </w:tc>
      </w:tr>
      <w:tr w:rsidR="009E22D0" w:rsidRPr="00B75089" w:rsidTr="00A930CA">
        <w:trPr>
          <w:trHeight w:val="591"/>
        </w:trPr>
        <w:tc>
          <w:tcPr>
            <w:tcW w:w="7196" w:type="dxa"/>
          </w:tcPr>
          <w:p w:rsidR="009E22D0" w:rsidRDefault="009E22D0" w:rsidP="00A93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DF49DA" w:rsidRPr="00DF49DA" w:rsidRDefault="00DF49DA" w:rsidP="00A930CA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sz w:val="20"/>
                <w:szCs w:val="20"/>
              </w:rPr>
              <w:t>Role model the importance of robust risk management and compliance across MPS</w:t>
            </w:r>
          </w:p>
          <w:p w:rsidR="00BC2A40" w:rsidRDefault="00EE7A80" w:rsidP="00A930CA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B96975">
              <w:rPr>
                <w:rFonts w:ascii="Arial" w:hAnsi="Arial" w:cs="Arial"/>
                <w:sz w:val="20"/>
                <w:szCs w:val="20"/>
              </w:rPr>
              <w:t>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975">
              <w:rPr>
                <w:rFonts w:ascii="Arial" w:hAnsi="Arial" w:cs="Arial"/>
                <w:sz w:val="20"/>
                <w:szCs w:val="20"/>
              </w:rPr>
              <w:t>accurate</w:t>
            </w:r>
            <w:r w:rsidR="00DF4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97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fit for purpose </w:t>
            </w:r>
            <w:r w:rsidR="00B96975">
              <w:rPr>
                <w:rFonts w:ascii="Arial" w:hAnsi="Arial" w:cs="Arial"/>
                <w:sz w:val="20"/>
                <w:szCs w:val="20"/>
              </w:rPr>
              <w:t xml:space="preserve">risk reporting which enables informed decision-making </w:t>
            </w:r>
          </w:p>
          <w:p w:rsidR="00A930CA" w:rsidRPr="00487A22" w:rsidRDefault="00A930CA" w:rsidP="00A930CA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930CA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Risk and Compliance </w:t>
            </w:r>
            <w:r w:rsidRPr="00A930CA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291" w:type="dxa"/>
          </w:tcPr>
          <w:p w:rsidR="00DF49DA" w:rsidRPr="00EF4F66" w:rsidRDefault="00DF49DA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F4F66">
              <w:rPr>
                <w:rFonts w:ascii="Arial" w:eastAsia="Calibri" w:hAnsi="Arial" w:cs="Arial"/>
                <w:sz w:val="20"/>
                <w:szCs w:val="20"/>
              </w:rPr>
              <w:t xml:space="preserve">Improved awareness and understanding of 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EF4F66">
              <w:rPr>
                <w:rFonts w:ascii="Arial" w:eastAsia="Calibri" w:hAnsi="Arial" w:cs="Arial"/>
                <w:sz w:val="20"/>
                <w:szCs w:val="20"/>
              </w:rPr>
              <w:t xml:space="preserve">isk </w:t>
            </w: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EF4F66">
              <w:rPr>
                <w:rFonts w:ascii="Arial" w:eastAsia="Calibri" w:hAnsi="Arial" w:cs="Arial"/>
                <w:sz w:val="20"/>
                <w:szCs w:val="20"/>
              </w:rPr>
              <w:t xml:space="preserve">anagement </w:t>
            </w:r>
          </w:p>
          <w:p w:rsidR="00B96975" w:rsidRPr="00F163A9" w:rsidRDefault="00B96975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reporting is accurate </w:t>
            </w:r>
          </w:p>
          <w:p w:rsidR="009E22D0" w:rsidRPr="00B96975" w:rsidRDefault="00B96975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reporting is insightful </w:t>
            </w:r>
            <w:r w:rsidR="00DF49D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qualitative and quantitative</w:t>
            </w:r>
          </w:p>
        </w:tc>
      </w:tr>
    </w:tbl>
    <w:p w:rsidR="00FB4711" w:rsidRPr="00B75089" w:rsidRDefault="00FB4711" w:rsidP="00A930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B75089" w:rsidRDefault="009E22D0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FF16B8">
        <w:trPr>
          <w:trHeight w:val="693"/>
        </w:trPr>
        <w:tc>
          <w:tcPr>
            <w:tcW w:w="10490" w:type="dxa"/>
          </w:tcPr>
          <w:p w:rsidR="00A13F77" w:rsidRPr="007E481A" w:rsidRDefault="00A13F77" w:rsidP="00A930C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81A">
              <w:rPr>
                <w:rFonts w:ascii="Arial" w:hAnsi="Arial" w:cs="Arial"/>
                <w:color w:val="000000"/>
                <w:sz w:val="20"/>
                <w:szCs w:val="20"/>
              </w:rPr>
              <w:t>Working with the Senior Group Risk Manager to develop Key Risk Indicator reporting to monitor our exposure against our Risk Appetite.</w:t>
            </w:r>
          </w:p>
          <w:p w:rsidR="00A13F77" w:rsidRPr="007E481A" w:rsidRDefault="00A13F77" w:rsidP="00A930C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81A">
              <w:rPr>
                <w:rFonts w:ascii="Arial" w:hAnsi="Arial" w:cs="Arial"/>
                <w:color w:val="000000"/>
                <w:sz w:val="20"/>
                <w:szCs w:val="20"/>
              </w:rPr>
              <w:t>Hands on support to the Business Risk Partner to ensure business areas have assessed their risks; are maintaining their risk registers; have appropriate controls and action plans in place; and that a high quality standard of record keeping is maintained.</w:t>
            </w:r>
          </w:p>
          <w:p w:rsidR="00A13F77" w:rsidRPr="007E481A" w:rsidRDefault="00A13F77" w:rsidP="00A930C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81A">
              <w:rPr>
                <w:rFonts w:ascii="Arial" w:hAnsi="Arial" w:cs="Arial"/>
                <w:color w:val="000000"/>
                <w:sz w:val="20"/>
                <w:szCs w:val="20"/>
              </w:rPr>
              <w:t>Working with the wider Risk and Compliance Division to ensure that internal</w:t>
            </w:r>
            <w:r w:rsidR="0043699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external</w:t>
            </w:r>
            <w:r w:rsidRPr="007E481A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 </w:t>
            </w:r>
            <w:r w:rsidR="0043699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7E481A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Compliance MI and reporting requirements are met.</w:t>
            </w:r>
          </w:p>
          <w:p w:rsidR="009E22D0" w:rsidRPr="00BC2A40" w:rsidRDefault="004D18E8" w:rsidP="00A930CA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2A40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:rsidR="009E22D0" w:rsidRPr="00B75089" w:rsidRDefault="009E22D0" w:rsidP="00A930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2D1" w:rsidRPr="00B75089" w:rsidRDefault="005542D1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7F42E6">
        <w:trPr>
          <w:trHeight w:val="693"/>
        </w:trPr>
        <w:tc>
          <w:tcPr>
            <w:tcW w:w="10490" w:type="dxa"/>
          </w:tcPr>
          <w:p w:rsidR="005542D1" w:rsidRPr="007E481A" w:rsidRDefault="007E481A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with the facilitation of MI and Risk Reporting for appropriate Executive and governance committees.</w:t>
            </w:r>
          </w:p>
          <w:p w:rsidR="005542D1" w:rsidRPr="00B75089" w:rsidRDefault="005542D1" w:rsidP="00A930CA">
            <w:pPr>
              <w:pStyle w:val="ListParagraph"/>
              <w:spacing w:before="0" w:beforeAutospacing="0" w:after="0" w:afterAutospacing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2D1" w:rsidRPr="00B75089" w:rsidRDefault="005542D1" w:rsidP="00A930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56188D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B75089" w:rsidRDefault="00C91CFA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56188D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88D" w:rsidRPr="007E481A" w:rsidRDefault="00C91CFA" w:rsidP="00A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A9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75089" w:rsidRDefault="004D18E8" w:rsidP="00A9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90896">
              <w:rPr>
                <w:rFonts w:ascii="Arial" w:hAnsi="Arial" w:cs="Arial"/>
                <w:sz w:val="20"/>
                <w:szCs w:val="20"/>
              </w:rPr>
            </w:r>
            <w:r w:rsidR="00A90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</w:p>
        </w:tc>
        <w:tc>
          <w:tcPr>
            <w:tcW w:w="4482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90896">
              <w:rPr>
                <w:rFonts w:ascii="Arial" w:hAnsi="Arial" w:cs="Arial"/>
                <w:sz w:val="20"/>
                <w:szCs w:val="20"/>
              </w:rPr>
            </w:r>
            <w:r w:rsidR="00A90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90896">
              <w:rPr>
                <w:rFonts w:ascii="Arial" w:hAnsi="Arial" w:cs="Arial"/>
                <w:sz w:val="20"/>
                <w:szCs w:val="20"/>
              </w:rPr>
            </w:r>
            <w:r w:rsidR="00A90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</w:p>
        </w:tc>
        <w:tc>
          <w:tcPr>
            <w:tcW w:w="4482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90896">
              <w:rPr>
                <w:rFonts w:ascii="Arial" w:hAnsi="Arial" w:cs="Arial"/>
                <w:sz w:val="20"/>
                <w:szCs w:val="20"/>
              </w:rPr>
            </w:r>
            <w:r w:rsidR="00A90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90896">
              <w:rPr>
                <w:rFonts w:ascii="Arial" w:hAnsi="Arial" w:cs="Arial"/>
                <w:sz w:val="20"/>
                <w:szCs w:val="20"/>
              </w:rPr>
            </w:r>
            <w:r w:rsidR="00A90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</w:p>
        </w:tc>
        <w:tc>
          <w:tcPr>
            <w:tcW w:w="4482" w:type="dxa"/>
          </w:tcPr>
          <w:p w:rsidR="004D18E8" w:rsidRPr="00B75089" w:rsidRDefault="004D18E8" w:rsidP="00A930CA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90896">
              <w:rPr>
                <w:rFonts w:ascii="Arial" w:hAnsi="Arial" w:cs="Arial"/>
                <w:sz w:val="20"/>
                <w:szCs w:val="20"/>
              </w:rPr>
            </w:r>
            <w:r w:rsidR="00A90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:rsidR="00E40AC5" w:rsidRPr="00B75089" w:rsidRDefault="00E40AC5" w:rsidP="00A930CA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E40AC5" w:rsidRPr="00B75089" w:rsidRDefault="00E40AC5" w:rsidP="00A930CA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40AC5" w:rsidRPr="00B75089" w:rsidRDefault="00E40AC5" w:rsidP="00A930CA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40AC5" w:rsidRPr="00B75089" w:rsidRDefault="00E40AC5" w:rsidP="00A930CA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A930CA">
            <w:pPr>
              <w:spacing w:beforeAutospacing="0" w:after="0" w:afterAutospacing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:rsidR="00E40AC5" w:rsidRPr="00B75089" w:rsidRDefault="00E40AC5" w:rsidP="00A930CA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47125" w:rsidRDefault="00E47125" w:rsidP="00A930CA">
            <w:pPr>
              <w:numPr>
                <w:ilvl w:val="0"/>
                <w:numId w:val="5"/>
              </w:numPr>
              <w:spacing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Highly numerate.</w:t>
            </w:r>
          </w:p>
          <w:p w:rsidR="00E47125" w:rsidRDefault="00E47125" w:rsidP="00A930CA">
            <w:pPr>
              <w:numPr>
                <w:ilvl w:val="0"/>
                <w:numId w:val="5"/>
              </w:numPr>
              <w:spacing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attention to detail.</w:t>
            </w:r>
          </w:p>
          <w:p w:rsidR="00E47125" w:rsidRDefault="00E47125" w:rsidP="00A930CA">
            <w:pPr>
              <w:numPr>
                <w:ilvl w:val="0"/>
                <w:numId w:val="5"/>
              </w:numPr>
              <w:spacing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BF5"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z w:val="20"/>
                <w:szCs w:val="20"/>
              </w:rPr>
              <w:t>cellent written communication skills.</w:t>
            </w:r>
          </w:p>
          <w:p w:rsidR="00E40AC5" w:rsidRPr="00E47125" w:rsidRDefault="00E47125" w:rsidP="00A930CA">
            <w:pPr>
              <w:numPr>
                <w:ilvl w:val="0"/>
                <w:numId w:val="5"/>
              </w:numPr>
              <w:spacing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Pr="002308F3">
              <w:rPr>
                <w:rFonts w:ascii="Arial" w:hAnsi="Arial" w:cs="Arial"/>
                <w:sz w:val="20"/>
                <w:szCs w:val="20"/>
              </w:rPr>
              <w:t>I.T. skills including a working knowledge of Word, Excel</w:t>
            </w:r>
            <w:r>
              <w:rPr>
                <w:rFonts w:ascii="Arial" w:hAnsi="Arial" w:cs="Arial"/>
                <w:sz w:val="20"/>
                <w:szCs w:val="20"/>
              </w:rPr>
              <w:t>, Outlook</w:t>
            </w:r>
            <w:r w:rsidRPr="002308F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308F3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308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E47125" w:rsidRDefault="00E47125" w:rsidP="00A930CA">
            <w:pPr>
              <w:numPr>
                <w:ilvl w:val="0"/>
                <w:numId w:val="5"/>
              </w:numPr>
              <w:spacing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Risk management within the regulated financial services industry (preferably insurance) with a strong leaning towards operational, conduct and compliance risk.</w:t>
            </w:r>
          </w:p>
          <w:p w:rsidR="00E40AC5" w:rsidRPr="00B75089" w:rsidRDefault="00026418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with business areas at all levels. </w:t>
            </w:r>
          </w:p>
        </w:tc>
      </w:tr>
      <w:tr w:rsidR="00FF16B8" w:rsidRPr="00B75089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E40AC5" w:rsidRPr="00B75089" w:rsidRDefault="00E40AC5" w:rsidP="00A930CA">
            <w:pPr>
              <w:spacing w:beforeAutospacing="0" w:after="0" w:afterAutospacing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:rsidR="00E47125" w:rsidRDefault="00E47125" w:rsidP="00A930CA">
            <w:pPr>
              <w:numPr>
                <w:ilvl w:val="0"/>
                <w:numId w:val="5"/>
              </w:numPr>
              <w:spacing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Educated to degree level or equivalent.</w:t>
            </w:r>
          </w:p>
          <w:p w:rsidR="00E40AC5" w:rsidRPr="00B75089" w:rsidRDefault="00E47125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in risk management or associated qualification would be beneficial</w:t>
            </w:r>
          </w:p>
        </w:tc>
        <w:tc>
          <w:tcPr>
            <w:tcW w:w="3119" w:type="dxa"/>
          </w:tcPr>
          <w:p w:rsidR="00E40AC5" w:rsidRPr="00B75089" w:rsidRDefault="00E40AC5" w:rsidP="00A930CA">
            <w:pPr>
              <w:pStyle w:val="ListParagraph"/>
              <w:spacing w:before="0" w:beforeAutospacing="0" w:after="0" w:afterAutospacing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40AC5" w:rsidRPr="00AE3881" w:rsidRDefault="00026418" w:rsidP="00A930C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enterprise risk management and its practical and proportionate application.</w:t>
            </w:r>
          </w:p>
          <w:p w:rsidR="00AE3881" w:rsidRPr="00B75089" w:rsidRDefault="00AE3881" w:rsidP="00A930CA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6188D" w:rsidRPr="00B75089" w:rsidRDefault="0056188D" w:rsidP="00A930CA">
      <w:pPr>
        <w:spacing w:after="0"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96" w:rsidRDefault="00A90896" w:rsidP="009E22D0">
      <w:pPr>
        <w:spacing w:after="0" w:line="240" w:lineRule="auto"/>
      </w:pPr>
      <w:r>
        <w:separator/>
      </w:r>
    </w:p>
  </w:endnote>
  <w:endnote w:type="continuationSeparator" w:id="0">
    <w:p w:rsidR="00A90896" w:rsidRDefault="00A90896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96" w:rsidRDefault="00A90896" w:rsidP="009E22D0">
      <w:pPr>
        <w:spacing w:after="0" w:line="240" w:lineRule="auto"/>
      </w:pPr>
      <w:r>
        <w:separator/>
      </w:r>
    </w:p>
  </w:footnote>
  <w:footnote w:type="continuationSeparator" w:id="0">
    <w:p w:rsidR="00A90896" w:rsidRDefault="00A90896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C4D"/>
    <w:multiLevelType w:val="hybridMultilevel"/>
    <w:tmpl w:val="CB2C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44764E"/>
    <w:multiLevelType w:val="hybridMultilevel"/>
    <w:tmpl w:val="C704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7988"/>
    <w:multiLevelType w:val="hybridMultilevel"/>
    <w:tmpl w:val="602C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39108E"/>
    <w:multiLevelType w:val="hybridMultilevel"/>
    <w:tmpl w:val="7E0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23A16"/>
    <w:multiLevelType w:val="hybridMultilevel"/>
    <w:tmpl w:val="230A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7802"/>
    <w:multiLevelType w:val="hybridMultilevel"/>
    <w:tmpl w:val="8BC0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25109"/>
    <w:multiLevelType w:val="hybridMultilevel"/>
    <w:tmpl w:val="1018A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E0265"/>
    <w:multiLevelType w:val="hybridMultilevel"/>
    <w:tmpl w:val="248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86C9F"/>
    <w:multiLevelType w:val="hybridMultilevel"/>
    <w:tmpl w:val="BF2ED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D23"/>
    <w:multiLevelType w:val="hybridMultilevel"/>
    <w:tmpl w:val="344CC5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8"/>
  </w:num>
  <w:num w:numId="9">
    <w:abstractNumId w:val="19"/>
  </w:num>
  <w:num w:numId="10">
    <w:abstractNumId w:val="15"/>
  </w:num>
  <w:num w:numId="11">
    <w:abstractNumId w:val="5"/>
  </w:num>
  <w:num w:numId="12">
    <w:abstractNumId w:val="16"/>
  </w:num>
  <w:num w:numId="13">
    <w:abstractNumId w:val="0"/>
  </w:num>
  <w:num w:numId="14">
    <w:abstractNumId w:val="17"/>
  </w:num>
  <w:num w:numId="15">
    <w:abstractNumId w:val="12"/>
  </w:num>
  <w:num w:numId="16">
    <w:abstractNumId w:val="20"/>
  </w:num>
  <w:num w:numId="17">
    <w:abstractNumId w:val="2"/>
  </w:num>
  <w:num w:numId="18">
    <w:abstractNumId w:val="7"/>
  </w:num>
  <w:num w:numId="19">
    <w:abstractNumId w:val="4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15969"/>
    <w:rsid w:val="000263A6"/>
    <w:rsid w:val="00026418"/>
    <w:rsid w:val="00082F60"/>
    <w:rsid w:val="000E4361"/>
    <w:rsid w:val="00115A2D"/>
    <w:rsid w:val="0015797C"/>
    <w:rsid w:val="001E49E1"/>
    <w:rsid w:val="001F6F68"/>
    <w:rsid w:val="002722E5"/>
    <w:rsid w:val="002B557F"/>
    <w:rsid w:val="002D4FB4"/>
    <w:rsid w:val="00320D0D"/>
    <w:rsid w:val="003A021E"/>
    <w:rsid w:val="00405B2D"/>
    <w:rsid w:val="0042693B"/>
    <w:rsid w:val="00434E13"/>
    <w:rsid w:val="00436999"/>
    <w:rsid w:val="00474304"/>
    <w:rsid w:val="00487A22"/>
    <w:rsid w:val="004958C3"/>
    <w:rsid w:val="004B37E5"/>
    <w:rsid w:val="004D18E8"/>
    <w:rsid w:val="005542D1"/>
    <w:rsid w:val="0056188D"/>
    <w:rsid w:val="00567F18"/>
    <w:rsid w:val="0058160D"/>
    <w:rsid w:val="006219B1"/>
    <w:rsid w:val="00666EB3"/>
    <w:rsid w:val="00717094"/>
    <w:rsid w:val="007244F9"/>
    <w:rsid w:val="007B65CC"/>
    <w:rsid w:val="007E481A"/>
    <w:rsid w:val="007E7CA1"/>
    <w:rsid w:val="00802B7F"/>
    <w:rsid w:val="00813AEB"/>
    <w:rsid w:val="00875928"/>
    <w:rsid w:val="00894EF3"/>
    <w:rsid w:val="008A2FFA"/>
    <w:rsid w:val="008A69CF"/>
    <w:rsid w:val="008D19F3"/>
    <w:rsid w:val="0093144C"/>
    <w:rsid w:val="009E22D0"/>
    <w:rsid w:val="00A13F77"/>
    <w:rsid w:val="00A4414A"/>
    <w:rsid w:val="00A63269"/>
    <w:rsid w:val="00A90896"/>
    <w:rsid w:val="00A930CA"/>
    <w:rsid w:val="00AE3881"/>
    <w:rsid w:val="00B14771"/>
    <w:rsid w:val="00B636B6"/>
    <w:rsid w:val="00B65720"/>
    <w:rsid w:val="00B72500"/>
    <w:rsid w:val="00B75089"/>
    <w:rsid w:val="00B96975"/>
    <w:rsid w:val="00BC2A40"/>
    <w:rsid w:val="00C30196"/>
    <w:rsid w:val="00C91CFA"/>
    <w:rsid w:val="00D30613"/>
    <w:rsid w:val="00D30C83"/>
    <w:rsid w:val="00DF1948"/>
    <w:rsid w:val="00DF49DA"/>
    <w:rsid w:val="00E240FF"/>
    <w:rsid w:val="00E37517"/>
    <w:rsid w:val="00E40AC5"/>
    <w:rsid w:val="00E47125"/>
    <w:rsid w:val="00EE7A80"/>
    <w:rsid w:val="00EF4F66"/>
    <w:rsid w:val="00F163A9"/>
    <w:rsid w:val="00F5319A"/>
    <w:rsid w:val="00F56A73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cp:lastModifiedBy>Beale, Tom</cp:lastModifiedBy>
  <cp:revision>3</cp:revision>
  <dcterms:created xsi:type="dcterms:W3CDTF">2019-04-03T14:31:00Z</dcterms:created>
  <dcterms:modified xsi:type="dcterms:W3CDTF">2019-04-15T08:53:00Z</dcterms:modified>
</cp:coreProperties>
</file>