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73133A" w:rsidTr="007E7CA1">
        <w:trPr>
          <w:trHeight w:val="265"/>
        </w:trPr>
        <w:tc>
          <w:tcPr>
            <w:tcW w:w="2127" w:type="dxa"/>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Role title:</w:t>
            </w:r>
          </w:p>
        </w:tc>
        <w:tc>
          <w:tcPr>
            <w:tcW w:w="3119" w:type="dxa"/>
          </w:tcPr>
          <w:p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 xml:space="preserve">Head of </w:t>
            </w:r>
            <w:r w:rsidR="00AA6F93">
              <w:rPr>
                <w:rFonts w:ascii="Arial" w:hAnsi="Arial" w:cs="Arial"/>
                <w:sz w:val="20"/>
                <w:szCs w:val="20"/>
              </w:rPr>
              <w:t>Product and Pricing</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Responsible to:</w:t>
            </w:r>
          </w:p>
        </w:tc>
        <w:tc>
          <w:tcPr>
            <w:tcW w:w="3260" w:type="dxa"/>
          </w:tcPr>
          <w:p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Executive Director</w:t>
            </w:r>
            <w:r w:rsidR="00343867">
              <w:rPr>
                <w:rFonts w:ascii="Arial" w:hAnsi="Arial" w:cs="Arial"/>
                <w:sz w:val="20"/>
                <w:szCs w:val="20"/>
              </w:rPr>
              <w:t>,</w:t>
            </w:r>
            <w:r>
              <w:rPr>
                <w:rFonts w:ascii="Arial" w:hAnsi="Arial" w:cs="Arial"/>
                <w:sz w:val="20"/>
                <w:szCs w:val="20"/>
              </w:rPr>
              <w:t xml:space="preserve"> Commercial Services</w:t>
            </w:r>
          </w:p>
        </w:tc>
      </w:tr>
      <w:tr w:rsidR="00F5319A" w:rsidRPr="0073133A" w:rsidTr="007E7CA1">
        <w:trPr>
          <w:trHeight w:val="278"/>
        </w:trPr>
        <w:tc>
          <w:tcPr>
            <w:tcW w:w="2127" w:type="dxa"/>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Division:</w:t>
            </w:r>
          </w:p>
        </w:tc>
        <w:tc>
          <w:tcPr>
            <w:tcW w:w="3119" w:type="dxa"/>
          </w:tcPr>
          <w:p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Business area</w:t>
            </w:r>
            <w:r>
              <w:rPr>
                <w:rFonts w:ascii="Arial" w:hAnsi="Arial" w:cs="Arial"/>
                <w:b/>
                <w:sz w:val="20"/>
                <w:szCs w:val="20"/>
              </w:rPr>
              <w:t>:</w:t>
            </w:r>
          </w:p>
        </w:tc>
        <w:tc>
          <w:tcPr>
            <w:tcW w:w="3260" w:type="dxa"/>
          </w:tcPr>
          <w:p w:rsidR="00F5319A" w:rsidRPr="0073133A" w:rsidRDefault="00AA6F93" w:rsidP="007E7CA1">
            <w:pPr>
              <w:pStyle w:val="Header"/>
              <w:spacing w:after="0"/>
              <w:jc w:val="both"/>
              <w:rPr>
                <w:rFonts w:ascii="Arial" w:hAnsi="Arial" w:cs="Arial"/>
                <w:sz w:val="20"/>
                <w:szCs w:val="20"/>
              </w:rPr>
            </w:pPr>
            <w:r>
              <w:rPr>
                <w:rFonts w:ascii="Arial" w:hAnsi="Arial" w:cs="Arial"/>
                <w:sz w:val="20"/>
                <w:szCs w:val="20"/>
              </w:rPr>
              <w:t>Product &amp; Pricing</w:t>
            </w:r>
          </w:p>
        </w:tc>
      </w:tr>
      <w:tr w:rsidR="00F5319A" w:rsidRPr="0073133A" w:rsidTr="007E7CA1">
        <w:trPr>
          <w:trHeight w:val="265"/>
        </w:trPr>
        <w:tc>
          <w:tcPr>
            <w:tcW w:w="2127" w:type="dxa"/>
            <w:vMerge w:val="restart"/>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Direct Reports and Level:</w:t>
            </w:r>
          </w:p>
        </w:tc>
        <w:tc>
          <w:tcPr>
            <w:tcW w:w="3119" w:type="dxa"/>
            <w:vMerge w:val="restart"/>
          </w:tcPr>
          <w:p w:rsidR="00F5319A" w:rsidRDefault="00516C05" w:rsidP="00294B36">
            <w:pPr>
              <w:pStyle w:val="Header"/>
              <w:numPr>
                <w:ilvl w:val="0"/>
                <w:numId w:val="31"/>
              </w:numPr>
              <w:spacing w:after="0" w:line="240" w:lineRule="auto"/>
              <w:jc w:val="both"/>
              <w:rPr>
                <w:rFonts w:ascii="Arial" w:hAnsi="Arial" w:cs="Arial"/>
                <w:sz w:val="20"/>
                <w:szCs w:val="20"/>
              </w:rPr>
            </w:pPr>
            <w:r>
              <w:rPr>
                <w:rFonts w:ascii="Arial" w:hAnsi="Arial" w:cs="Arial"/>
                <w:sz w:val="20"/>
                <w:szCs w:val="20"/>
              </w:rPr>
              <w:t>direct reports:</w:t>
            </w:r>
          </w:p>
          <w:p w:rsidR="003B62C1" w:rsidRDefault="003B62C1" w:rsidP="00294B36">
            <w:pPr>
              <w:pStyle w:val="Heade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Pricing Manager</w:t>
            </w:r>
          </w:p>
          <w:p w:rsidR="003B62C1" w:rsidRPr="003B62C1" w:rsidRDefault="00516C05" w:rsidP="00294B36">
            <w:pPr>
              <w:pStyle w:val="Header"/>
              <w:numPr>
                <w:ilvl w:val="0"/>
                <w:numId w:val="29"/>
              </w:numPr>
              <w:spacing w:after="0" w:line="240" w:lineRule="auto"/>
              <w:ind w:left="714" w:hanging="357"/>
              <w:jc w:val="both"/>
              <w:rPr>
                <w:rFonts w:ascii="Arial" w:hAnsi="Arial" w:cs="Arial"/>
                <w:sz w:val="20"/>
                <w:szCs w:val="20"/>
              </w:rPr>
            </w:pPr>
            <w:r w:rsidRPr="003B62C1">
              <w:rPr>
                <w:rFonts w:ascii="Arial" w:hAnsi="Arial" w:cs="Arial"/>
                <w:sz w:val="20"/>
                <w:szCs w:val="20"/>
              </w:rPr>
              <w:t xml:space="preserve">Product and Proposition </w:t>
            </w:r>
            <w:r w:rsidR="003B62C1" w:rsidRPr="003B62C1">
              <w:rPr>
                <w:rFonts w:ascii="Arial" w:hAnsi="Arial" w:cs="Arial"/>
                <w:sz w:val="20"/>
                <w:szCs w:val="20"/>
              </w:rPr>
              <w:t>Development Manager</w:t>
            </w:r>
          </w:p>
          <w:p w:rsidR="003B62C1" w:rsidRDefault="003B62C1" w:rsidP="00294B36">
            <w:pPr>
              <w:pStyle w:val="Heade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2 x Senior</w:t>
            </w:r>
            <w:r w:rsidR="002F72E8">
              <w:rPr>
                <w:rFonts w:ascii="Arial" w:hAnsi="Arial" w:cs="Arial"/>
                <w:sz w:val="20"/>
                <w:szCs w:val="20"/>
              </w:rPr>
              <w:t xml:space="preserve"> Data &amp; MI Analyst</w:t>
            </w:r>
            <w:r>
              <w:rPr>
                <w:rFonts w:ascii="Arial" w:hAnsi="Arial" w:cs="Arial"/>
                <w:sz w:val="20"/>
                <w:szCs w:val="20"/>
              </w:rPr>
              <w:t>s</w:t>
            </w:r>
            <w:r w:rsidR="00516C05">
              <w:rPr>
                <w:rFonts w:ascii="Arial" w:hAnsi="Arial" w:cs="Arial"/>
                <w:sz w:val="20"/>
                <w:szCs w:val="20"/>
              </w:rPr>
              <w:t xml:space="preserve"> </w:t>
            </w:r>
          </w:p>
          <w:p w:rsidR="00294B36" w:rsidRDefault="002F72E8" w:rsidP="00294B36">
            <w:pPr>
              <w:pStyle w:val="Heade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2 x Data Scientist</w:t>
            </w:r>
          </w:p>
          <w:p w:rsidR="003B62C1" w:rsidRDefault="002F72E8" w:rsidP="00294B36">
            <w:pPr>
              <w:pStyle w:val="Heade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Data &amp; MI Analyst</w:t>
            </w:r>
          </w:p>
          <w:p w:rsidR="002F72E8" w:rsidRDefault="003B62C1" w:rsidP="00294B36">
            <w:pPr>
              <w:pStyle w:val="Header"/>
              <w:numPr>
                <w:ilvl w:val="0"/>
                <w:numId w:val="29"/>
              </w:numPr>
              <w:spacing w:after="0" w:line="240" w:lineRule="auto"/>
              <w:ind w:left="714" w:hanging="357"/>
              <w:jc w:val="both"/>
              <w:rPr>
                <w:rFonts w:ascii="Arial" w:hAnsi="Arial" w:cs="Arial"/>
                <w:sz w:val="20"/>
                <w:szCs w:val="20"/>
              </w:rPr>
            </w:pPr>
            <w:r>
              <w:rPr>
                <w:rFonts w:ascii="Arial" w:hAnsi="Arial" w:cs="Arial"/>
                <w:sz w:val="20"/>
                <w:szCs w:val="20"/>
              </w:rPr>
              <w:t>Pricing Development Manager</w:t>
            </w:r>
          </w:p>
          <w:p w:rsidR="00F5319A" w:rsidRPr="00516C05" w:rsidRDefault="00533ADD" w:rsidP="003B62C1">
            <w:pPr>
              <w:pStyle w:val="Header"/>
              <w:jc w:val="both"/>
              <w:rPr>
                <w:rFonts w:ascii="Arial" w:hAnsi="Arial" w:cs="Arial"/>
                <w:i/>
                <w:sz w:val="20"/>
                <w:szCs w:val="20"/>
              </w:rPr>
            </w:pPr>
            <w:r w:rsidRPr="00516C05">
              <w:rPr>
                <w:rFonts w:ascii="Arial" w:hAnsi="Arial" w:cs="Arial"/>
                <w:i/>
                <w:sz w:val="20"/>
                <w:szCs w:val="20"/>
              </w:rPr>
              <w:t xml:space="preserve">Note </w:t>
            </w:r>
            <w:r w:rsidR="003B62C1">
              <w:rPr>
                <w:rFonts w:ascii="Arial" w:hAnsi="Arial" w:cs="Arial"/>
                <w:i/>
                <w:sz w:val="20"/>
                <w:szCs w:val="20"/>
              </w:rPr>
              <w:t>new roles in new structure are</w:t>
            </w:r>
            <w:r w:rsidRPr="00516C05">
              <w:rPr>
                <w:rFonts w:ascii="Arial" w:hAnsi="Arial" w:cs="Arial"/>
                <w:i/>
                <w:sz w:val="20"/>
                <w:szCs w:val="20"/>
              </w:rPr>
              <w:t xml:space="preserve"> subject to consultation</w:t>
            </w:r>
            <w:r w:rsidR="007B4E3C" w:rsidRPr="00516C05">
              <w:rPr>
                <w:rFonts w:ascii="Arial" w:hAnsi="Arial" w:cs="Arial"/>
                <w:i/>
                <w:sz w:val="20"/>
                <w:szCs w:val="20"/>
              </w:rPr>
              <w:t>.</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Scope:</w:t>
            </w:r>
          </w:p>
        </w:tc>
        <w:tc>
          <w:tcPr>
            <w:tcW w:w="3260" w:type="dxa"/>
          </w:tcPr>
          <w:p w:rsidR="00F5319A" w:rsidRPr="0073133A" w:rsidRDefault="00A34827" w:rsidP="00AA6F93">
            <w:pPr>
              <w:pStyle w:val="Header"/>
              <w:spacing w:after="0"/>
              <w:jc w:val="both"/>
              <w:rPr>
                <w:rFonts w:ascii="Arial" w:hAnsi="Arial" w:cs="Arial"/>
                <w:sz w:val="20"/>
                <w:szCs w:val="20"/>
              </w:rPr>
            </w:pPr>
            <w:r>
              <w:rPr>
                <w:rFonts w:ascii="Arial" w:hAnsi="Arial" w:cs="Arial"/>
                <w:sz w:val="20"/>
                <w:szCs w:val="20"/>
              </w:rPr>
              <w:t xml:space="preserve">All </w:t>
            </w:r>
            <w:r w:rsidR="00AA6F93">
              <w:rPr>
                <w:rFonts w:ascii="Arial" w:hAnsi="Arial" w:cs="Arial"/>
                <w:sz w:val="20"/>
                <w:szCs w:val="20"/>
              </w:rPr>
              <w:t>Product and Pricing</w:t>
            </w:r>
            <w:r>
              <w:rPr>
                <w:rFonts w:ascii="Arial" w:hAnsi="Arial" w:cs="Arial"/>
                <w:sz w:val="20"/>
                <w:szCs w:val="20"/>
              </w:rPr>
              <w:t xml:space="preserve"> activity – globally</w:t>
            </w:r>
          </w:p>
        </w:tc>
      </w:tr>
      <w:tr w:rsidR="00F5319A" w:rsidRPr="0073133A" w:rsidTr="007E7CA1">
        <w:trPr>
          <w:trHeight w:val="350"/>
        </w:trPr>
        <w:tc>
          <w:tcPr>
            <w:tcW w:w="2127" w:type="dxa"/>
            <w:vMerge/>
            <w:shd w:val="clear" w:color="auto" w:fill="D9D9D9" w:themeFill="background1" w:themeFillShade="D9"/>
          </w:tcPr>
          <w:p w:rsidR="00F5319A" w:rsidRPr="0073133A" w:rsidRDefault="00F5319A" w:rsidP="007E7CA1">
            <w:pPr>
              <w:pStyle w:val="Header"/>
              <w:spacing w:after="0"/>
              <w:ind w:left="-11"/>
              <w:rPr>
                <w:rFonts w:ascii="Arial" w:hAnsi="Arial" w:cs="Arial"/>
                <w:b/>
                <w:sz w:val="20"/>
                <w:szCs w:val="20"/>
              </w:rPr>
            </w:pPr>
          </w:p>
        </w:tc>
        <w:tc>
          <w:tcPr>
            <w:tcW w:w="3119" w:type="dxa"/>
            <w:vMerge/>
          </w:tcPr>
          <w:p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Scale:</w:t>
            </w:r>
          </w:p>
        </w:tc>
        <w:tc>
          <w:tcPr>
            <w:tcW w:w="3260" w:type="dxa"/>
          </w:tcPr>
          <w:p w:rsidR="00F5319A" w:rsidRPr="0073133A" w:rsidRDefault="003B62C1" w:rsidP="007E7CA1">
            <w:pPr>
              <w:pStyle w:val="Header"/>
              <w:spacing w:after="0" w:line="240" w:lineRule="auto"/>
              <w:jc w:val="both"/>
              <w:rPr>
                <w:rFonts w:ascii="Arial" w:hAnsi="Arial" w:cs="Arial"/>
                <w:sz w:val="20"/>
                <w:szCs w:val="20"/>
              </w:rPr>
            </w:pPr>
            <w:r>
              <w:rPr>
                <w:rFonts w:ascii="Arial" w:hAnsi="Arial" w:cs="Arial"/>
                <w:sz w:val="20"/>
                <w:szCs w:val="20"/>
              </w:rPr>
              <w:t>16</w:t>
            </w:r>
            <w:r w:rsidR="00343867">
              <w:rPr>
                <w:rFonts w:ascii="Arial" w:hAnsi="Arial" w:cs="Arial"/>
                <w:sz w:val="20"/>
                <w:szCs w:val="20"/>
              </w:rPr>
              <w:t xml:space="preserve"> </w:t>
            </w:r>
            <w:r w:rsidR="00F5319A" w:rsidRPr="0073133A">
              <w:rPr>
                <w:rFonts w:ascii="Arial" w:hAnsi="Arial" w:cs="Arial"/>
                <w:sz w:val="20"/>
                <w:szCs w:val="20"/>
              </w:rPr>
              <w:t>People</w:t>
            </w:r>
          </w:p>
          <w:p w:rsidR="00F5319A" w:rsidRPr="0073133A" w:rsidRDefault="00343867" w:rsidP="007E7CA1">
            <w:pPr>
              <w:pStyle w:val="Header"/>
              <w:spacing w:after="0" w:line="240" w:lineRule="auto"/>
              <w:jc w:val="both"/>
              <w:rPr>
                <w:rFonts w:ascii="Arial" w:hAnsi="Arial" w:cs="Arial"/>
                <w:sz w:val="20"/>
                <w:szCs w:val="20"/>
              </w:rPr>
            </w:pPr>
            <w:r>
              <w:rPr>
                <w:rFonts w:ascii="Arial" w:hAnsi="Arial" w:cs="Arial"/>
                <w:sz w:val="20"/>
                <w:szCs w:val="20"/>
              </w:rPr>
              <w:t xml:space="preserve">c </w:t>
            </w:r>
            <w:r w:rsidR="00936ADA">
              <w:rPr>
                <w:rFonts w:ascii="Arial" w:hAnsi="Arial" w:cs="Arial"/>
                <w:sz w:val="20"/>
                <w:szCs w:val="20"/>
              </w:rPr>
              <w:t>£1.2m</w:t>
            </w:r>
          </w:p>
          <w:p w:rsidR="00F5319A" w:rsidRPr="0073133A" w:rsidRDefault="00F5319A" w:rsidP="007E7CA1">
            <w:pPr>
              <w:pStyle w:val="Header"/>
              <w:spacing w:after="0" w:line="240" w:lineRule="auto"/>
              <w:jc w:val="both"/>
              <w:rPr>
                <w:rFonts w:ascii="Arial" w:hAnsi="Arial" w:cs="Arial"/>
                <w:sz w:val="20"/>
                <w:szCs w:val="20"/>
              </w:rPr>
            </w:pPr>
          </w:p>
        </w:tc>
      </w:tr>
      <w:tr w:rsidR="00F5319A" w:rsidRPr="0073133A" w:rsidTr="007E7CA1">
        <w:trPr>
          <w:trHeight w:val="381"/>
        </w:trPr>
        <w:tc>
          <w:tcPr>
            <w:tcW w:w="2127" w:type="dxa"/>
            <w:vMerge/>
            <w:shd w:val="clear" w:color="auto" w:fill="D9D9D9" w:themeFill="background1" w:themeFillShade="D9"/>
          </w:tcPr>
          <w:p w:rsidR="00F5319A" w:rsidRPr="0073133A" w:rsidRDefault="00F5319A" w:rsidP="007E7CA1">
            <w:pPr>
              <w:pStyle w:val="Header"/>
              <w:spacing w:after="0"/>
              <w:ind w:left="-11"/>
              <w:rPr>
                <w:rFonts w:ascii="Arial" w:hAnsi="Arial" w:cs="Arial"/>
                <w:b/>
                <w:sz w:val="20"/>
                <w:szCs w:val="20"/>
              </w:rPr>
            </w:pPr>
          </w:p>
        </w:tc>
        <w:tc>
          <w:tcPr>
            <w:tcW w:w="3119" w:type="dxa"/>
            <w:vMerge/>
          </w:tcPr>
          <w:p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73133A" w:rsidRDefault="007E7CA1" w:rsidP="007E7CA1">
            <w:pPr>
              <w:pStyle w:val="Header"/>
              <w:spacing w:after="0"/>
              <w:jc w:val="both"/>
              <w:rPr>
                <w:rFonts w:ascii="Arial" w:hAnsi="Arial" w:cs="Arial"/>
                <w:b/>
                <w:color w:val="FF0000"/>
                <w:sz w:val="20"/>
                <w:szCs w:val="20"/>
              </w:rPr>
            </w:pPr>
            <w:r>
              <w:rPr>
                <w:rFonts w:ascii="Arial" w:hAnsi="Arial" w:cs="Arial"/>
                <w:b/>
                <w:sz w:val="20"/>
                <w:szCs w:val="20"/>
              </w:rPr>
              <w:t xml:space="preserve">Regulated Function(s) </w:t>
            </w:r>
            <w:r w:rsidR="00F5319A" w:rsidRPr="0073133A">
              <w:rPr>
                <w:rFonts w:ascii="Arial" w:hAnsi="Arial" w:cs="Arial"/>
                <w:b/>
                <w:sz w:val="20"/>
                <w:szCs w:val="20"/>
              </w:rPr>
              <w:t>Held:</w:t>
            </w:r>
          </w:p>
        </w:tc>
        <w:tc>
          <w:tcPr>
            <w:tcW w:w="3260" w:type="dxa"/>
          </w:tcPr>
          <w:p w:rsidR="00F5319A" w:rsidRPr="0073133A" w:rsidRDefault="00F5319A" w:rsidP="007E7CA1">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73133A" w:rsidTr="007E7CA1">
        <w:trPr>
          <w:trHeight w:val="558"/>
        </w:trPr>
        <w:tc>
          <w:tcPr>
            <w:tcW w:w="2127" w:type="dxa"/>
            <w:shd w:val="clear" w:color="auto" w:fill="D9D9D9" w:themeFill="background1" w:themeFillShade="D9"/>
          </w:tcPr>
          <w:p w:rsidR="007E7CA1" w:rsidRPr="0073133A" w:rsidRDefault="007E7CA1" w:rsidP="007E7CA1">
            <w:pPr>
              <w:pStyle w:val="Header"/>
              <w:spacing w:after="0"/>
              <w:ind w:left="-11"/>
              <w:rPr>
                <w:rFonts w:ascii="Arial" w:hAnsi="Arial" w:cs="Arial"/>
                <w:b/>
                <w:sz w:val="20"/>
                <w:szCs w:val="20"/>
              </w:rPr>
            </w:pPr>
            <w:r>
              <w:rPr>
                <w:rFonts w:ascii="Arial" w:hAnsi="Arial" w:cs="Arial"/>
                <w:b/>
                <w:sz w:val="20"/>
                <w:szCs w:val="20"/>
              </w:rPr>
              <w:t>Evaluation Level</w:t>
            </w:r>
          </w:p>
        </w:tc>
        <w:tc>
          <w:tcPr>
            <w:tcW w:w="3119" w:type="dxa"/>
          </w:tcPr>
          <w:p w:rsidR="007E7CA1" w:rsidRPr="0073133A" w:rsidRDefault="007D52BE" w:rsidP="007E7CA1">
            <w:pPr>
              <w:pStyle w:val="Header"/>
              <w:spacing w:after="0"/>
              <w:jc w:val="both"/>
              <w:rPr>
                <w:rFonts w:ascii="Arial" w:hAnsi="Arial" w:cs="Arial"/>
                <w:sz w:val="20"/>
                <w:szCs w:val="20"/>
              </w:rPr>
            </w:pPr>
            <w:r>
              <w:rPr>
                <w:rFonts w:ascii="Arial" w:hAnsi="Arial" w:cs="Arial"/>
                <w:sz w:val="20"/>
                <w:szCs w:val="20"/>
              </w:rPr>
              <w:t>Guide</w:t>
            </w:r>
            <w:r w:rsidR="00A51AAF">
              <w:rPr>
                <w:rFonts w:ascii="Arial" w:hAnsi="Arial" w:cs="Arial"/>
                <w:sz w:val="20"/>
                <w:szCs w:val="20"/>
              </w:rPr>
              <w:t xml:space="preserve"> </w:t>
            </w:r>
          </w:p>
        </w:tc>
        <w:tc>
          <w:tcPr>
            <w:tcW w:w="1984" w:type="dxa"/>
            <w:shd w:val="clear" w:color="auto" w:fill="D9D9D9" w:themeFill="background1" w:themeFillShade="D9"/>
          </w:tcPr>
          <w:p w:rsidR="007E7CA1" w:rsidRPr="0073133A" w:rsidRDefault="007E7CA1" w:rsidP="007E7CA1">
            <w:pPr>
              <w:pStyle w:val="Header"/>
              <w:spacing w:after="0"/>
              <w:jc w:val="both"/>
              <w:rPr>
                <w:rFonts w:ascii="Arial" w:hAnsi="Arial" w:cs="Arial"/>
                <w:b/>
                <w:sz w:val="20"/>
                <w:szCs w:val="20"/>
              </w:rPr>
            </w:pPr>
            <w:r>
              <w:rPr>
                <w:rFonts w:ascii="Arial" w:hAnsi="Arial" w:cs="Arial"/>
                <w:b/>
                <w:sz w:val="20"/>
                <w:szCs w:val="20"/>
              </w:rPr>
              <w:t>Role Family</w:t>
            </w:r>
          </w:p>
        </w:tc>
        <w:tc>
          <w:tcPr>
            <w:tcW w:w="3260" w:type="dxa"/>
          </w:tcPr>
          <w:p w:rsidR="007E7CA1" w:rsidRDefault="004F7FE7" w:rsidP="007E7CA1">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p>
        </w:tc>
      </w:tr>
    </w:tbl>
    <w:p w:rsidR="00F5319A" w:rsidRDefault="00F5319A">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C91CFA" w:rsidTr="009E22D0">
        <w:trPr>
          <w:trHeight w:val="456"/>
        </w:trPr>
        <w:tc>
          <w:tcPr>
            <w:tcW w:w="10509"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Overall Role Purpose</w:t>
            </w:r>
          </w:p>
        </w:tc>
      </w:tr>
      <w:tr w:rsidR="009E22D0" w:rsidRPr="009E22D0" w:rsidTr="009E22D0">
        <w:trPr>
          <w:trHeight w:val="693"/>
        </w:trPr>
        <w:tc>
          <w:tcPr>
            <w:tcW w:w="10509" w:type="dxa"/>
          </w:tcPr>
          <w:p w:rsidR="00AC2978" w:rsidRPr="00A328BD" w:rsidRDefault="00A328BD" w:rsidP="007C78EC">
            <w:pPr>
              <w:rPr>
                <w:rFonts w:ascii="Arial" w:hAnsi="Arial" w:cs="Arial"/>
                <w:sz w:val="20"/>
                <w:szCs w:val="20"/>
              </w:rPr>
            </w:pPr>
            <w:r w:rsidRPr="00A328BD">
              <w:rPr>
                <w:rFonts w:ascii="Arial" w:hAnsi="Arial" w:cs="Arial"/>
                <w:sz w:val="20"/>
                <w:szCs w:val="20"/>
              </w:rPr>
              <w:t xml:space="preserve">The </w:t>
            </w:r>
            <w:r w:rsidR="007C78EC">
              <w:rPr>
                <w:rFonts w:ascii="Arial" w:hAnsi="Arial" w:cs="Arial"/>
                <w:sz w:val="20"/>
                <w:szCs w:val="20"/>
              </w:rPr>
              <w:t xml:space="preserve">purpose of this role is </w:t>
            </w:r>
            <w:r w:rsidR="00E17B28">
              <w:rPr>
                <w:rFonts w:ascii="Arial" w:hAnsi="Arial" w:cs="Arial"/>
                <w:sz w:val="20"/>
                <w:szCs w:val="20"/>
              </w:rPr>
              <w:t xml:space="preserve">to deliver </w:t>
            </w:r>
            <w:r w:rsidR="00936ADA">
              <w:rPr>
                <w:rFonts w:ascii="Arial" w:hAnsi="Arial" w:cs="Arial"/>
                <w:sz w:val="20"/>
                <w:szCs w:val="20"/>
              </w:rPr>
              <w:t xml:space="preserve">all pricing </w:t>
            </w:r>
            <w:bookmarkStart w:id="0" w:name="_GoBack"/>
            <w:bookmarkEnd w:id="0"/>
            <w:r w:rsidR="00936ADA">
              <w:rPr>
                <w:rFonts w:ascii="Arial" w:hAnsi="Arial" w:cs="Arial"/>
                <w:sz w:val="20"/>
                <w:szCs w:val="20"/>
              </w:rPr>
              <w:t>for MPS products</w:t>
            </w:r>
            <w:r w:rsidR="001618E2">
              <w:rPr>
                <w:rFonts w:ascii="Arial" w:hAnsi="Arial" w:cs="Arial"/>
                <w:sz w:val="20"/>
                <w:szCs w:val="20"/>
              </w:rPr>
              <w:t>, both technical</w:t>
            </w:r>
            <w:r w:rsidR="00666A86">
              <w:rPr>
                <w:rFonts w:ascii="Arial" w:hAnsi="Arial" w:cs="Arial"/>
                <w:sz w:val="20"/>
                <w:szCs w:val="20"/>
              </w:rPr>
              <w:t xml:space="preserve"> (including segmental pool cost analysis)</w:t>
            </w:r>
            <w:r w:rsidR="001618E2">
              <w:rPr>
                <w:rFonts w:ascii="Arial" w:hAnsi="Arial" w:cs="Arial"/>
                <w:sz w:val="20"/>
                <w:szCs w:val="20"/>
              </w:rPr>
              <w:t xml:space="preserve"> and retail</w:t>
            </w:r>
            <w:r w:rsidR="007C78EC" w:rsidRPr="002D53D6">
              <w:rPr>
                <w:rFonts w:ascii="Arial" w:hAnsi="Arial" w:cs="Arial"/>
                <w:noProof/>
                <w:sz w:val="20"/>
                <w:szCs w:val="20"/>
              </w:rPr>
              <w:t xml:space="preserve"> </w:t>
            </w:r>
            <w:r w:rsidR="007C78EC">
              <w:rPr>
                <w:rFonts w:ascii="Arial" w:hAnsi="Arial" w:cs="Arial"/>
                <w:noProof/>
                <w:sz w:val="20"/>
                <w:szCs w:val="20"/>
              </w:rPr>
              <w:t xml:space="preserve">and ensure that MPS </w:t>
            </w:r>
            <w:r w:rsidR="007C78EC" w:rsidRPr="002D53D6">
              <w:rPr>
                <w:rFonts w:ascii="Arial" w:hAnsi="Arial" w:cs="Arial"/>
                <w:noProof/>
                <w:sz w:val="20"/>
                <w:szCs w:val="20"/>
              </w:rPr>
              <w:t xml:space="preserve">offers relevant products and </w:t>
            </w:r>
            <w:r w:rsidR="007C78EC" w:rsidRPr="002D53D6">
              <w:rPr>
                <w:rFonts w:ascii="Arial" w:hAnsi="Arial" w:cs="Arial"/>
                <w:noProof/>
                <w:color w:val="000000" w:themeColor="text1"/>
                <w:sz w:val="20"/>
                <w:szCs w:val="20"/>
              </w:rPr>
              <w:t>propositions for the markets w</w:t>
            </w:r>
            <w:r w:rsidR="00B45D2B">
              <w:rPr>
                <w:rFonts w:ascii="Arial" w:hAnsi="Arial" w:cs="Arial"/>
                <w:noProof/>
                <w:color w:val="000000" w:themeColor="text1"/>
                <w:sz w:val="20"/>
                <w:szCs w:val="20"/>
              </w:rPr>
              <w:t xml:space="preserve">e serve (current and future) </w:t>
            </w:r>
            <w:r w:rsidR="007C78EC" w:rsidRPr="002D53D6">
              <w:rPr>
                <w:rFonts w:ascii="Arial" w:hAnsi="Arial" w:cs="Arial"/>
                <w:noProof/>
                <w:color w:val="000000" w:themeColor="text1"/>
                <w:sz w:val="20"/>
                <w:szCs w:val="20"/>
              </w:rPr>
              <w:t>which  deliver a financial contribution to the membership fund.</w:t>
            </w:r>
          </w:p>
        </w:tc>
      </w:tr>
    </w:tbl>
    <w:p w:rsidR="009E22D0" w:rsidRDefault="009E22D0"/>
    <w:tbl>
      <w:tblPr>
        <w:tblStyle w:val="TableGrid"/>
        <w:tblW w:w="10487" w:type="dxa"/>
        <w:tblInd w:w="-709" w:type="dxa"/>
        <w:tblLook w:val="04A0" w:firstRow="1" w:lastRow="0" w:firstColumn="1" w:lastColumn="0" w:noHBand="0" w:noVBand="1"/>
      </w:tblPr>
      <w:tblGrid>
        <w:gridCol w:w="6346"/>
        <w:gridCol w:w="4141"/>
      </w:tblGrid>
      <w:tr w:rsidR="009E22D0" w:rsidRPr="00C91CFA" w:rsidTr="009E22D0">
        <w:trPr>
          <w:trHeight w:val="310"/>
        </w:trPr>
        <w:tc>
          <w:tcPr>
            <w:tcW w:w="6346"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Accountabilities (R</w:t>
            </w:r>
            <w:r w:rsidRPr="00C91CFA">
              <w:rPr>
                <w:rFonts w:ascii="Arial" w:hAnsi="Arial" w:cs="Arial"/>
                <w:b/>
                <w:sz w:val="20"/>
                <w:szCs w:val="20"/>
                <w:u w:val="single"/>
              </w:rPr>
              <w:t>A</w:t>
            </w:r>
            <w:r w:rsidRPr="00C91CFA">
              <w:rPr>
                <w:rFonts w:ascii="Arial" w:hAnsi="Arial" w:cs="Arial"/>
                <w:b/>
                <w:sz w:val="20"/>
                <w:szCs w:val="20"/>
              </w:rPr>
              <w:t>CI)</w:t>
            </w:r>
          </w:p>
        </w:tc>
        <w:tc>
          <w:tcPr>
            <w:tcW w:w="4141"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Measures of Success</w:t>
            </w:r>
            <w:r w:rsidRPr="00717094">
              <w:rPr>
                <w:rFonts w:ascii="Arial" w:hAnsi="Arial" w:cs="Arial"/>
                <w:b/>
                <w:sz w:val="20"/>
                <w:szCs w:val="20"/>
              </w:rPr>
              <w:t>/KPI’s</w:t>
            </w:r>
          </w:p>
          <w:p w:rsidR="00717094" w:rsidRDefault="00717094" w:rsidP="009E22D0">
            <w:pPr>
              <w:widowControl w:val="0"/>
              <w:autoSpaceDE w:val="0"/>
              <w:autoSpaceDN w:val="0"/>
              <w:adjustRightInd w:val="0"/>
              <w:spacing w:before="3" w:after="0" w:line="170" w:lineRule="exact"/>
              <w:rPr>
                <w:rFonts w:ascii="Arial" w:hAnsi="Arial" w:cs="Arial"/>
                <w:b/>
                <w:sz w:val="20"/>
                <w:szCs w:val="20"/>
              </w:rPr>
            </w:pPr>
          </w:p>
          <w:p w:rsidR="00717094" w:rsidRPr="00717094" w:rsidRDefault="00717094" w:rsidP="009E22D0">
            <w:pPr>
              <w:widowControl w:val="0"/>
              <w:autoSpaceDE w:val="0"/>
              <w:autoSpaceDN w:val="0"/>
              <w:adjustRightInd w:val="0"/>
              <w:spacing w:before="3" w:after="0" w:line="170" w:lineRule="exact"/>
              <w:rPr>
                <w:rFonts w:ascii="Arial" w:hAnsi="Arial" w:cs="Arial"/>
                <w:i/>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tc>
      </w:tr>
      <w:tr w:rsidR="009E22D0" w:rsidTr="009E22D0">
        <w:trPr>
          <w:trHeight w:val="578"/>
        </w:trPr>
        <w:tc>
          <w:tcPr>
            <w:tcW w:w="6346" w:type="dxa"/>
          </w:tcPr>
          <w:p w:rsidR="0056188D" w:rsidRPr="00717094" w:rsidRDefault="00A34827" w:rsidP="00AC2978">
            <w:pPr>
              <w:spacing w:before="100" w:after="100" w:line="240" w:lineRule="auto"/>
              <w:jc w:val="both"/>
              <w:rPr>
                <w:rFonts w:ascii="Arial" w:eastAsia="Calibri" w:hAnsi="Arial" w:cs="Arial"/>
                <w:sz w:val="20"/>
                <w:szCs w:val="20"/>
                <w:lang w:eastAsia="en-US"/>
              </w:rPr>
            </w:pPr>
            <w:r>
              <w:rPr>
                <w:rFonts w:ascii="Arial" w:eastAsia="Calibri" w:hAnsi="Arial" w:cs="Arial"/>
                <w:b/>
                <w:sz w:val="20"/>
                <w:szCs w:val="20"/>
                <w:lang w:eastAsia="en-US"/>
              </w:rPr>
              <w:t>Operational</w:t>
            </w:r>
            <w:r w:rsidR="0056188D" w:rsidRPr="00717094">
              <w:rPr>
                <w:rFonts w:ascii="Arial" w:eastAsia="Calibri" w:hAnsi="Arial" w:cs="Arial"/>
                <w:b/>
                <w:sz w:val="20"/>
                <w:szCs w:val="20"/>
                <w:lang w:eastAsia="en-US"/>
              </w:rPr>
              <w:t xml:space="preserve"> Leadership </w:t>
            </w:r>
          </w:p>
          <w:p w:rsidR="00A24F5C" w:rsidRPr="003E5744" w:rsidRDefault="00A24F5C" w:rsidP="00AC2978">
            <w:pPr>
              <w:pStyle w:val="ListParagraph"/>
              <w:numPr>
                <w:ilvl w:val="0"/>
                <w:numId w:val="17"/>
              </w:numPr>
              <w:jc w:val="both"/>
              <w:rPr>
                <w:rFonts w:ascii="Arial" w:eastAsia="Calibri" w:hAnsi="Arial" w:cs="Arial"/>
                <w:sz w:val="20"/>
                <w:szCs w:val="20"/>
              </w:rPr>
            </w:pPr>
            <w:r w:rsidRPr="003E5744">
              <w:rPr>
                <w:rFonts w:ascii="Arial" w:eastAsia="Calibri" w:hAnsi="Arial" w:cs="Arial"/>
                <w:sz w:val="20"/>
                <w:szCs w:val="20"/>
              </w:rPr>
              <w:t xml:space="preserve">Provide leadership across </w:t>
            </w:r>
            <w:r>
              <w:rPr>
                <w:rFonts w:ascii="Arial" w:eastAsia="Calibri" w:hAnsi="Arial" w:cs="Arial"/>
                <w:sz w:val="20"/>
                <w:szCs w:val="20"/>
              </w:rPr>
              <w:t>Commercial Services</w:t>
            </w:r>
            <w:r w:rsidRPr="003E5744">
              <w:rPr>
                <w:rFonts w:ascii="Arial" w:eastAsia="Calibri" w:hAnsi="Arial" w:cs="Arial"/>
                <w:sz w:val="20"/>
                <w:szCs w:val="20"/>
              </w:rPr>
              <w:t xml:space="preserve"> and in particular </w:t>
            </w:r>
            <w:r>
              <w:rPr>
                <w:rFonts w:ascii="Arial" w:eastAsia="Calibri" w:hAnsi="Arial" w:cs="Arial"/>
                <w:sz w:val="20"/>
                <w:szCs w:val="20"/>
              </w:rPr>
              <w:t xml:space="preserve">the Product &amp; Pricing department </w:t>
            </w:r>
            <w:r w:rsidRPr="003E5744">
              <w:rPr>
                <w:rFonts w:ascii="Arial" w:eastAsia="Calibri" w:hAnsi="Arial" w:cs="Arial"/>
                <w:sz w:val="20"/>
                <w:szCs w:val="20"/>
              </w:rPr>
              <w:t>to deliver on the overall corporate strategy, business performance, leadership of teams that reinforces the desired culture and delivery of strategic priorities.</w:t>
            </w:r>
          </w:p>
          <w:p w:rsidR="000208C5" w:rsidRPr="00EC4481" w:rsidRDefault="007B4E3C" w:rsidP="00AC2978">
            <w:pPr>
              <w:pStyle w:val="ListParagraph"/>
              <w:numPr>
                <w:ilvl w:val="0"/>
                <w:numId w:val="17"/>
              </w:numPr>
              <w:jc w:val="both"/>
              <w:rPr>
                <w:rFonts w:ascii="Arial" w:eastAsia="Calibri" w:hAnsi="Arial" w:cs="Arial"/>
                <w:sz w:val="20"/>
                <w:szCs w:val="20"/>
              </w:rPr>
            </w:pPr>
            <w:r>
              <w:rPr>
                <w:rFonts w:ascii="Arial" w:eastAsia="Calibri" w:hAnsi="Arial" w:cs="Arial"/>
                <w:sz w:val="20"/>
                <w:szCs w:val="20"/>
              </w:rPr>
              <w:t>Through the use of data science as a key enabler provide</w:t>
            </w:r>
            <w:r w:rsidR="000208C5" w:rsidRPr="00EC4481">
              <w:rPr>
                <w:rFonts w:ascii="Arial" w:eastAsia="Calibri" w:hAnsi="Arial" w:cs="Arial"/>
                <w:sz w:val="20"/>
                <w:szCs w:val="20"/>
              </w:rPr>
              <w:t xml:space="preserve"> insight and change to MPS prices and products</w:t>
            </w:r>
          </w:p>
          <w:p w:rsidR="000208C5" w:rsidRPr="007B4E3C" w:rsidRDefault="000208C5" w:rsidP="00AC2978">
            <w:pPr>
              <w:pStyle w:val="ListParagraph"/>
              <w:numPr>
                <w:ilvl w:val="0"/>
                <w:numId w:val="17"/>
              </w:numPr>
              <w:jc w:val="both"/>
              <w:rPr>
                <w:sz w:val="20"/>
                <w:szCs w:val="20"/>
              </w:rPr>
            </w:pPr>
            <w:r w:rsidRPr="00EC4481">
              <w:rPr>
                <w:rFonts w:ascii="Arial" w:eastAsia="Calibri" w:hAnsi="Arial" w:cs="Arial"/>
                <w:sz w:val="20"/>
                <w:szCs w:val="20"/>
              </w:rPr>
              <w:t>Lead the use of technical and retail pricing at MPS including price optimisation where appro</w:t>
            </w:r>
            <w:r w:rsidR="00C955E6" w:rsidRPr="00EC4481">
              <w:rPr>
                <w:rFonts w:ascii="Arial" w:eastAsia="Calibri" w:hAnsi="Arial" w:cs="Arial"/>
                <w:sz w:val="20"/>
                <w:szCs w:val="20"/>
              </w:rPr>
              <w:t xml:space="preserve">priate, subject to regulation </w:t>
            </w:r>
            <w:r w:rsidR="00527E8B" w:rsidRPr="00EC4481">
              <w:rPr>
                <w:rFonts w:ascii="Arial" w:eastAsia="Calibri" w:hAnsi="Arial" w:cs="Arial"/>
                <w:sz w:val="20"/>
                <w:szCs w:val="20"/>
              </w:rPr>
              <w:t xml:space="preserve">as </w:t>
            </w:r>
            <w:r w:rsidR="00C955E6" w:rsidRPr="00EC4481">
              <w:rPr>
                <w:rFonts w:ascii="Arial" w:eastAsia="Calibri" w:hAnsi="Arial" w:cs="Arial"/>
                <w:sz w:val="20"/>
                <w:szCs w:val="20"/>
              </w:rPr>
              <w:t>it emerges</w:t>
            </w:r>
          </w:p>
          <w:p w:rsidR="007B4E3C" w:rsidRPr="007B4E3C" w:rsidRDefault="007B4E3C" w:rsidP="00AC2978">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Contribute to the development </w:t>
            </w:r>
            <w:r w:rsidRPr="00593866">
              <w:rPr>
                <w:rFonts w:ascii="Arial" w:hAnsi="Arial" w:cs="Arial"/>
                <w:sz w:val="20"/>
                <w:szCs w:val="20"/>
              </w:rPr>
              <w:t xml:space="preserve">and delivery of the </w:t>
            </w:r>
            <w:r>
              <w:rPr>
                <w:rFonts w:ascii="Arial" w:hAnsi="Arial" w:cs="Arial"/>
                <w:sz w:val="20"/>
                <w:szCs w:val="20"/>
              </w:rPr>
              <w:t xml:space="preserve">Commercial Services and Product &amp; Pricing </w:t>
            </w:r>
            <w:r w:rsidRPr="00593866">
              <w:rPr>
                <w:rFonts w:ascii="Arial" w:hAnsi="Arial" w:cs="Arial"/>
                <w:sz w:val="20"/>
                <w:szCs w:val="20"/>
              </w:rPr>
              <w:t>strategy and plan</w:t>
            </w:r>
            <w:r>
              <w:rPr>
                <w:rFonts w:ascii="Arial" w:hAnsi="Arial" w:cs="Arial"/>
                <w:sz w:val="20"/>
                <w:szCs w:val="20"/>
              </w:rPr>
              <w:t>s</w:t>
            </w:r>
            <w:r w:rsidRPr="00593866">
              <w:rPr>
                <w:rFonts w:ascii="Arial" w:hAnsi="Arial" w:cs="Arial"/>
                <w:sz w:val="20"/>
                <w:szCs w:val="20"/>
              </w:rPr>
              <w:t xml:space="preserve"> to time, cost and qualit</w:t>
            </w:r>
            <w:r>
              <w:rPr>
                <w:rFonts w:ascii="Arial" w:hAnsi="Arial" w:cs="Arial"/>
                <w:sz w:val="20"/>
                <w:szCs w:val="20"/>
              </w:rPr>
              <w:t>y.</w:t>
            </w:r>
          </w:p>
          <w:p w:rsidR="00A24F5C" w:rsidRPr="0033439C" w:rsidRDefault="00A24F5C" w:rsidP="00AC2978">
            <w:pPr>
              <w:numPr>
                <w:ilvl w:val="0"/>
                <w:numId w:val="17"/>
              </w:numPr>
              <w:spacing w:after="0" w:line="260" w:lineRule="exact"/>
              <w:jc w:val="both"/>
              <w:rPr>
                <w:rFonts w:ascii="Arial" w:hAnsi="Arial" w:cs="Arial"/>
                <w:bCs/>
                <w:sz w:val="20"/>
                <w:szCs w:val="20"/>
                <w:lang w:eastAsia="en-US"/>
              </w:rPr>
            </w:pPr>
            <w:r w:rsidRPr="0033439C">
              <w:rPr>
                <w:rFonts w:ascii="Arial" w:hAnsi="Arial" w:cs="Arial"/>
                <w:sz w:val="20"/>
                <w:szCs w:val="20"/>
              </w:rPr>
              <w:t xml:space="preserve">Working with the </w:t>
            </w:r>
            <w:r>
              <w:rPr>
                <w:rFonts w:ascii="Arial" w:hAnsi="Arial" w:cs="Arial"/>
                <w:sz w:val="20"/>
                <w:szCs w:val="20"/>
              </w:rPr>
              <w:t>BD&amp;E</w:t>
            </w:r>
            <w:r w:rsidRPr="0033439C">
              <w:rPr>
                <w:rFonts w:ascii="Arial" w:hAnsi="Arial" w:cs="Arial"/>
                <w:sz w:val="20"/>
                <w:szCs w:val="20"/>
              </w:rPr>
              <w:t xml:space="preserve"> </w:t>
            </w:r>
            <w:r w:rsidR="007B4E3C">
              <w:rPr>
                <w:rFonts w:ascii="Arial" w:hAnsi="Arial" w:cs="Arial"/>
                <w:sz w:val="20"/>
                <w:szCs w:val="20"/>
              </w:rPr>
              <w:t>leaders</w:t>
            </w:r>
            <w:r w:rsidRPr="0033439C">
              <w:rPr>
                <w:rFonts w:ascii="Arial" w:hAnsi="Arial" w:cs="Arial"/>
                <w:sz w:val="20"/>
                <w:szCs w:val="20"/>
              </w:rPr>
              <w:t xml:space="preserve"> to ensure MPS has tailored segment propositions that meet our member needs (portfolio of product, servi</w:t>
            </w:r>
            <w:r>
              <w:rPr>
                <w:rFonts w:ascii="Arial" w:hAnsi="Arial" w:cs="Arial"/>
                <w:sz w:val="20"/>
                <w:szCs w:val="20"/>
              </w:rPr>
              <w:t xml:space="preserve">ces, </w:t>
            </w:r>
            <w:proofErr w:type="gramStart"/>
            <w:r>
              <w:rPr>
                <w:rFonts w:ascii="Arial" w:hAnsi="Arial" w:cs="Arial"/>
                <w:sz w:val="20"/>
                <w:szCs w:val="20"/>
              </w:rPr>
              <w:t>price</w:t>
            </w:r>
            <w:proofErr w:type="gramEnd"/>
            <w:r>
              <w:rPr>
                <w:rFonts w:ascii="Arial" w:hAnsi="Arial" w:cs="Arial"/>
                <w:sz w:val="20"/>
                <w:szCs w:val="20"/>
              </w:rPr>
              <w:t>) informed by insight</w:t>
            </w:r>
            <w:r w:rsidRPr="0033439C">
              <w:rPr>
                <w:rFonts w:ascii="Arial" w:hAnsi="Arial" w:cs="Arial"/>
                <w:sz w:val="20"/>
                <w:szCs w:val="20"/>
              </w:rPr>
              <w:t xml:space="preserve"> and articulated through compelling value propositions.</w:t>
            </w:r>
          </w:p>
          <w:p w:rsidR="00A24F5C" w:rsidRPr="00717094" w:rsidRDefault="00A24F5C" w:rsidP="00A24F5C">
            <w:pPr>
              <w:pStyle w:val="ListParagraph"/>
              <w:rPr>
                <w:sz w:val="20"/>
                <w:szCs w:val="20"/>
              </w:rPr>
            </w:pPr>
          </w:p>
        </w:tc>
        <w:tc>
          <w:tcPr>
            <w:tcW w:w="4141" w:type="dxa"/>
          </w:tcPr>
          <w:p w:rsidR="00E17B28" w:rsidRDefault="00E17B28" w:rsidP="00E17B28">
            <w:pPr>
              <w:pStyle w:val="ListParagraph"/>
              <w:rPr>
                <w:rFonts w:ascii="Arial" w:eastAsia="Calibri" w:hAnsi="Arial" w:cs="Arial"/>
                <w:sz w:val="20"/>
                <w:szCs w:val="20"/>
              </w:rPr>
            </w:pPr>
          </w:p>
          <w:p w:rsidR="002B5C5F" w:rsidRPr="002B5C5F" w:rsidRDefault="002B5C5F" w:rsidP="002B5C5F">
            <w:pPr>
              <w:pStyle w:val="ListParagraph"/>
              <w:rPr>
                <w:rFonts w:ascii="Arial" w:eastAsia="Calibri" w:hAnsi="Arial" w:cs="Arial"/>
                <w:sz w:val="20"/>
                <w:szCs w:val="20"/>
                <w:highlight w:val="yellow"/>
              </w:rPr>
            </w:pPr>
          </w:p>
          <w:p w:rsidR="002B5C5F" w:rsidRPr="001D433C" w:rsidRDefault="002B5C5F" w:rsidP="002B5C5F">
            <w:pPr>
              <w:pStyle w:val="ListParagraph"/>
              <w:numPr>
                <w:ilvl w:val="0"/>
                <w:numId w:val="6"/>
              </w:numPr>
              <w:jc w:val="both"/>
              <w:rPr>
                <w:rFonts w:ascii="Arial" w:eastAsia="Calibri" w:hAnsi="Arial" w:cs="Arial"/>
                <w:sz w:val="20"/>
                <w:szCs w:val="20"/>
              </w:rPr>
            </w:pPr>
            <w:r w:rsidRPr="001D433C">
              <w:rPr>
                <w:rFonts w:ascii="Arial" w:eastAsia="Calibri" w:hAnsi="Arial" w:cs="Arial"/>
                <w:sz w:val="20"/>
                <w:szCs w:val="20"/>
              </w:rPr>
              <w:t>MPS engagement index Vs plan</w:t>
            </w:r>
          </w:p>
          <w:p w:rsidR="002B5C5F" w:rsidRPr="001D433C" w:rsidRDefault="002B5C5F" w:rsidP="002B5C5F">
            <w:pPr>
              <w:pStyle w:val="ListParagraph"/>
              <w:numPr>
                <w:ilvl w:val="0"/>
                <w:numId w:val="6"/>
              </w:numPr>
              <w:jc w:val="both"/>
              <w:rPr>
                <w:rFonts w:ascii="Arial" w:eastAsia="Calibri" w:hAnsi="Arial" w:cs="Arial"/>
                <w:sz w:val="20"/>
                <w:szCs w:val="20"/>
              </w:rPr>
            </w:pPr>
            <w:r w:rsidRPr="001D433C">
              <w:rPr>
                <w:rFonts w:ascii="Arial" w:eastAsia="Calibri" w:hAnsi="Arial" w:cs="Arial"/>
                <w:sz w:val="20"/>
                <w:szCs w:val="20"/>
              </w:rPr>
              <w:t>MPS leadership index Vs plan</w:t>
            </w:r>
          </w:p>
          <w:p w:rsidR="00C91CFA" w:rsidRPr="002B5C5F" w:rsidRDefault="007B4E3C" w:rsidP="002B5C5F">
            <w:pPr>
              <w:pStyle w:val="ListParagraph"/>
              <w:numPr>
                <w:ilvl w:val="0"/>
                <w:numId w:val="6"/>
              </w:numPr>
              <w:jc w:val="both"/>
              <w:rPr>
                <w:rFonts w:ascii="Arial" w:eastAsia="Calibri" w:hAnsi="Arial" w:cs="Arial"/>
                <w:sz w:val="20"/>
                <w:szCs w:val="20"/>
              </w:rPr>
            </w:pPr>
            <w:r>
              <w:rPr>
                <w:rFonts w:ascii="Arial" w:eastAsia="Calibri" w:hAnsi="Arial" w:cs="Arial"/>
                <w:sz w:val="20"/>
                <w:szCs w:val="20"/>
              </w:rPr>
              <w:t>Commercial Services</w:t>
            </w:r>
            <w:r w:rsidR="00C91CFA" w:rsidRPr="00717094">
              <w:rPr>
                <w:rFonts w:ascii="Arial" w:eastAsia="Calibri" w:hAnsi="Arial" w:cs="Arial"/>
                <w:sz w:val="20"/>
                <w:szCs w:val="20"/>
              </w:rPr>
              <w:t xml:space="preserve"> engagemen</w:t>
            </w:r>
            <w:r w:rsidR="00C91CFA" w:rsidRPr="002B5C5F">
              <w:rPr>
                <w:rFonts w:ascii="Arial" w:eastAsia="Calibri" w:hAnsi="Arial" w:cs="Arial"/>
                <w:sz w:val="20"/>
                <w:szCs w:val="20"/>
              </w:rPr>
              <w:t>t index Vs plan</w:t>
            </w:r>
          </w:p>
          <w:p w:rsidR="00C91CFA" w:rsidRPr="00717094" w:rsidRDefault="007B4E3C" w:rsidP="00AC2978">
            <w:pPr>
              <w:pStyle w:val="ListParagraph"/>
              <w:numPr>
                <w:ilvl w:val="0"/>
                <w:numId w:val="6"/>
              </w:numPr>
              <w:jc w:val="both"/>
              <w:rPr>
                <w:rFonts w:ascii="Arial" w:eastAsia="Calibri" w:hAnsi="Arial" w:cs="Arial"/>
                <w:sz w:val="20"/>
                <w:szCs w:val="20"/>
              </w:rPr>
            </w:pPr>
            <w:r>
              <w:rPr>
                <w:rFonts w:ascii="Arial" w:eastAsia="Calibri" w:hAnsi="Arial" w:cs="Arial"/>
                <w:sz w:val="20"/>
                <w:szCs w:val="20"/>
              </w:rPr>
              <w:t xml:space="preserve">Commercial Services </w:t>
            </w:r>
            <w:r w:rsidR="00C91CFA" w:rsidRPr="00717094">
              <w:rPr>
                <w:rFonts w:ascii="Arial" w:eastAsia="Calibri" w:hAnsi="Arial" w:cs="Arial"/>
                <w:sz w:val="20"/>
                <w:szCs w:val="20"/>
              </w:rPr>
              <w:t>leadership index Vs plan</w:t>
            </w:r>
          </w:p>
          <w:p w:rsidR="007B4E3C" w:rsidRDefault="007B4E3C" w:rsidP="00AC2978">
            <w:pPr>
              <w:pStyle w:val="ListParagraph"/>
              <w:numPr>
                <w:ilvl w:val="0"/>
                <w:numId w:val="6"/>
              </w:numPr>
              <w:spacing w:after="0" w:afterAutospacing="0"/>
              <w:contextualSpacing w:val="0"/>
              <w:jc w:val="both"/>
              <w:rPr>
                <w:rFonts w:ascii="Arial" w:hAnsi="Arial" w:cs="Arial"/>
                <w:sz w:val="20"/>
                <w:szCs w:val="20"/>
              </w:rPr>
            </w:pPr>
            <w:r w:rsidRPr="001C7649">
              <w:rPr>
                <w:rFonts w:ascii="Arial" w:hAnsi="Arial" w:cs="Arial"/>
                <w:sz w:val="20"/>
                <w:szCs w:val="20"/>
              </w:rPr>
              <w:t xml:space="preserve">Corporate </w:t>
            </w:r>
            <w:r>
              <w:rPr>
                <w:rFonts w:ascii="Arial" w:hAnsi="Arial" w:cs="Arial"/>
                <w:sz w:val="20"/>
                <w:szCs w:val="20"/>
              </w:rPr>
              <w:t>Plan</w:t>
            </w:r>
            <w:r w:rsidRPr="001C7649">
              <w:rPr>
                <w:rFonts w:ascii="Arial" w:hAnsi="Arial" w:cs="Arial"/>
                <w:sz w:val="20"/>
                <w:szCs w:val="20"/>
              </w:rPr>
              <w:t xml:space="preserve"> Vs plan</w:t>
            </w:r>
          </w:p>
          <w:p w:rsidR="007B4E3C" w:rsidRDefault="007B4E3C" w:rsidP="00AC2978">
            <w:pPr>
              <w:pStyle w:val="ListParagraph"/>
              <w:numPr>
                <w:ilvl w:val="0"/>
                <w:numId w:val="6"/>
              </w:numPr>
              <w:spacing w:after="0" w:afterAutospacing="0"/>
              <w:contextualSpacing w:val="0"/>
              <w:jc w:val="both"/>
              <w:rPr>
                <w:rFonts w:ascii="Arial" w:hAnsi="Arial" w:cs="Arial"/>
                <w:sz w:val="20"/>
                <w:szCs w:val="20"/>
              </w:rPr>
            </w:pPr>
            <w:r>
              <w:rPr>
                <w:rFonts w:ascii="Arial" w:hAnsi="Arial" w:cs="Arial"/>
                <w:sz w:val="20"/>
                <w:szCs w:val="20"/>
              </w:rPr>
              <w:t>Strategic priorities Vs plan</w:t>
            </w:r>
          </w:p>
          <w:p w:rsidR="007B4E3C" w:rsidRPr="001C7649" w:rsidRDefault="007B4E3C" w:rsidP="00AC2978">
            <w:pPr>
              <w:pStyle w:val="ListParagraph"/>
              <w:numPr>
                <w:ilvl w:val="0"/>
                <w:numId w:val="6"/>
              </w:numPr>
              <w:spacing w:after="0" w:afterAutospacing="0"/>
              <w:contextualSpacing w:val="0"/>
              <w:jc w:val="both"/>
              <w:rPr>
                <w:rFonts w:ascii="Arial" w:hAnsi="Arial" w:cs="Arial"/>
                <w:sz w:val="20"/>
                <w:szCs w:val="20"/>
              </w:rPr>
            </w:pPr>
            <w:r>
              <w:rPr>
                <w:rFonts w:ascii="Arial" w:hAnsi="Arial" w:cs="Arial"/>
                <w:sz w:val="20"/>
                <w:szCs w:val="20"/>
              </w:rPr>
              <w:t>Commercial Services Division Plan Vs plan</w:t>
            </w:r>
          </w:p>
          <w:p w:rsidR="009E22D0" w:rsidRPr="00717094" w:rsidRDefault="009E22D0" w:rsidP="00A328BD">
            <w:pPr>
              <w:pStyle w:val="ListParagraph"/>
              <w:tabs>
                <w:tab w:val="left" w:pos="921"/>
              </w:tabs>
              <w:rPr>
                <w:sz w:val="20"/>
                <w:szCs w:val="20"/>
              </w:rPr>
            </w:pPr>
          </w:p>
        </w:tc>
      </w:tr>
      <w:tr w:rsidR="009E22D0" w:rsidRPr="009E22D0" w:rsidTr="009E22D0">
        <w:trPr>
          <w:trHeight w:val="578"/>
        </w:trPr>
        <w:tc>
          <w:tcPr>
            <w:tcW w:w="6346" w:type="dxa"/>
          </w:tcPr>
          <w:p w:rsidR="009E22D0" w:rsidRDefault="009E22D0">
            <w:pPr>
              <w:rPr>
                <w:rFonts w:ascii="Arial" w:hAnsi="Arial" w:cs="Arial"/>
                <w:b/>
                <w:sz w:val="20"/>
                <w:szCs w:val="20"/>
              </w:rPr>
            </w:pPr>
            <w:r w:rsidRPr="00C91CFA">
              <w:rPr>
                <w:rFonts w:ascii="Arial" w:hAnsi="Arial" w:cs="Arial"/>
                <w:b/>
                <w:sz w:val="20"/>
                <w:szCs w:val="20"/>
              </w:rPr>
              <w:lastRenderedPageBreak/>
              <w:t>Financial</w:t>
            </w:r>
          </w:p>
          <w:p w:rsidR="00A24F5C" w:rsidRPr="00A24F5C" w:rsidRDefault="00A24F5C" w:rsidP="00AC2978">
            <w:pPr>
              <w:pStyle w:val="ListParagraph"/>
              <w:numPr>
                <w:ilvl w:val="0"/>
                <w:numId w:val="18"/>
              </w:numPr>
              <w:spacing w:before="0" w:beforeAutospacing="0" w:after="0" w:afterAutospacing="0"/>
              <w:jc w:val="both"/>
              <w:rPr>
                <w:rFonts w:ascii="Arial" w:hAnsi="Arial" w:cs="Arial"/>
                <w:b/>
                <w:sz w:val="20"/>
                <w:szCs w:val="20"/>
              </w:rPr>
            </w:pPr>
            <w:r>
              <w:rPr>
                <w:rFonts w:ascii="Arial" w:hAnsi="Arial" w:cs="Arial"/>
                <w:sz w:val="20"/>
                <w:szCs w:val="20"/>
              </w:rPr>
              <w:t xml:space="preserve">Lead </w:t>
            </w:r>
            <w:r w:rsidRPr="00AD26F2">
              <w:rPr>
                <w:rFonts w:ascii="Arial" w:hAnsi="Arial" w:cs="Arial"/>
                <w:sz w:val="20"/>
                <w:szCs w:val="20"/>
              </w:rPr>
              <w:t xml:space="preserve">the setting and delivery of </w:t>
            </w:r>
            <w:r w:rsidR="007B4E3C">
              <w:rPr>
                <w:rFonts w:ascii="Arial" w:hAnsi="Arial" w:cs="Arial"/>
                <w:sz w:val="20"/>
                <w:szCs w:val="20"/>
              </w:rPr>
              <w:t xml:space="preserve">the Product &amp; Pricing team </w:t>
            </w:r>
            <w:r>
              <w:rPr>
                <w:rFonts w:ascii="Arial" w:hAnsi="Arial" w:cs="Arial"/>
                <w:sz w:val="20"/>
                <w:szCs w:val="20"/>
              </w:rPr>
              <w:t xml:space="preserve">targets ensuring </w:t>
            </w:r>
            <w:r w:rsidRPr="00AD26F2">
              <w:rPr>
                <w:rFonts w:ascii="Arial" w:hAnsi="Arial" w:cs="Arial"/>
                <w:sz w:val="20"/>
                <w:szCs w:val="20"/>
              </w:rPr>
              <w:t xml:space="preserve">an efficient and effective operating model which minimises cost and maximises contribution to financial sustainability without compromising the member experience. </w:t>
            </w:r>
          </w:p>
          <w:p w:rsidR="007159D6" w:rsidRPr="00EC4481" w:rsidRDefault="00A24F5C" w:rsidP="00AC2978">
            <w:pPr>
              <w:pStyle w:val="ListParagraph"/>
              <w:numPr>
                <w:ilvl w:val="0"/>
                <w:numId w:val="18"/>
              </w:numPr>
              <w:jc w:val="both"/>
              <w:rPr>
                <w:rFonts w:ascii="Arial" w:hAnsi="Arial" w:cs="Arial"/>
                <w:sz w:val="20"/>
                <w:szCs w:val="20"/>
              </w:rPr>
            </w:pPr>
            <w:r>
              <w:rPr>
                <w:rFonts w:ascii="Arial" w:hAnsi="Arial" w:cs="Arial"/>
                <w:sz w:val="20"/>
                <w:szCs w:val="20"/>
              </w:rPr>
              <w:t xml:space="preserve">Own the overall </w:t>
            </w:r>
            <w:r w:rsidR="007159D6" w:rsidRPr="00EC4481">
              <w:rPr>
                <w:rFonts w:ascii="Arial" w:hAnsi="Arial" w:cs="Arial"/>
                <w:sz w:val="20"/>
                <w:szCs w:val="20"/>
              </w:rPr>
              <w:t>performance for all product lines, engaging with the underwriting team to maintain competitive advantages and optimum commercial performance</w:t>
            </w:r>
            <w:r w:rsidR="001C0C15" w:rsidRPr="00EC4481">
              <w:rPr>
                <w:rFonts w:ascii="Arial" w:hAnsi="Arial" w:cs="Arial"/>
                <w:sz w:val="20"/>
                <w:szCs w:val="20"/>
              </w:rPr>
              <w:t>.</w:t>
            </w:r>
          </w:p>
          <w:p w:rsidR="009E22D0" w:rsidRPr="00EC4481" w:rsidRDefault="00527E8B" w:rsidP="00AC2978">
            <w:pPr>
              <w:pStyle w:val="ListParagraph"/>
              <w:numPr>
                <w:ilvl w:val="0"/>
                <w:numId w:val="18"/>
              </w:numPr>
              <w:jc w:val="both"/>
              <w:rPr>
                <w:rFonts w:ascii="Arial" w:hAnsi="Arial" w:cs="Arial"/>
                <w:sz w:val="20"/>
                <w:szCs w:val="20"/>
              </w:rPr>
            </w:pPr>
            <w:r w:rsidRPr="00EC4481">
              <w:rPr>
                <w:rFonts w:ascii="Arial" w:hAnsi="Arial" w:cs="Arial"/>
                <w:sz w:val="20"/>
                <w:szCs w:val="20"/>
              </w:rPr>
              <w:t xml:space="preserve">Deliver MPS pricing strategy ensuring the sustainability of </w:t>
            </w:r>
            <w:r w:rsidR="00EC4481">
              <w:rPr>
                <w:rFonts w:ascii="Arial" w:hAnsi="Arial" w:cs="Arial"/>
                <w:sz w:val="20"/>
                <w:szCs w:val="20"/>
              </w:rPr>
              <w:t>MPS through a robust actuarial  and technical</w:t>
            </w:r>
            <w:r w:rsidRPr="00EC4481">
              <w:rPr>
                <w:rFonts w:ascii="Arial" w:hAnsi="Arial" w:cs="Arial"/>
                <w:sz w:val="20"/>
                <w:szCs w:val="20"/>
              </w:rPr>
              <w:t xml:space="preserve"> pricing methodology which is then informed by market and competitive insight to result in the final retail price (subscriptions) taken to market</w:t>
            </w:r>
          </w:p>
          <w:p w:rsidR="00527E8B" w:rsidRPr="009E22D0" w:rsidRDefault="00AC2978" w:rsidP="00AC2978">
            <w:pPr>
              <w:pStyle w:val="ListParagraph"/>
              <w:numPr>
                <w:ilvl w:val="0"/>
                <w:numId w:val="18"/>
              </w:numPr>
              <w:jc w:val="both"/>
              <w:rPr>
                <w:rFonts w:ascii="Arial" w:hAnsi="Arial" w:cs="Arial"/>
                <w:sz w:val="20"/>
                <w:szCs w:val="20"/>
              </w:rPr>
            </w:pPr>
            <w:r>
              <w:rPr>
                <w:rFonts w:ascii="Arial" w:hAnsi="Arial" w:cs="Arial"/>
                <w:sz w:val="20"/>
                <w:szCs w:val="20"/>
              </w:rPr>
              <w:t>Establish</w:t>
            </w:r>
            <w:r w:rsidR="00527E8B" w:rsidRPr="00EC4481">
              <w:rPr>
                <w:rFonts w:ascii="Arial" w:hAnsi="Arial" w:cs="Arial"/>
                <w:sz w:val="20"/>
                <w:szCs w:val="20"/>
              </w:rPr>
              <w:t xml:space="preserve"> an efficient and effective operating model which minimises cost and maximises financial sustainability</w:t>
            </w:r>
            <w:r w:rsidR="00773842" w:rsidRPr="00EC4481">
              <w:rPr>
                <w:rFonts w:ascii="Arial" w:hAnsi="Arial" w:cs="Arial"/>
                <w:sz w:val="20"/>
                <w:szCs w:val="20"/>
              </w:rPr>
              <w:t xml:space="preserve"> within the product and pricing operation budget.</w:t>
            </w:r>
          </w:p>
        </w:tc>
        <w:tc>
          <w:tcPr>
            <w:tcW w:w="4141" w:type="dxa"/>
          </w:tcPr>
          <w:p w:rsidR="00773842" w:rsidRDefault="00C955E6" w:rsidP="00AC2978">
            <w:pPr>
              <w:pStyle w:val="ListParagraph"/>
              <w:numPr>
                <w:ilvl w:val="0"/>
                <w:numId w:val="6"/>
              </w:numPr>
              <w:jc w:val="both"/>
              <w:rPr>
                <w:rFonts w:ascii="Arial" w:eastAsia="Calibri" w:hAnsi="Arial" w:cs="Arial"/>
                <w:sz w:val="20"/>
                <w:szCs w:val="20"/>
              </w:rPr>
            </w:pPr>
            <w:r w:rsidRPr="00EC4481">
              <w:rPr>
                <w:rFonts w:ascii="Arial" w:eastAsia="Calibri" w:hAnsi="Arial" w:cs="Arial"/>
                <w:sz w:val="20"/>
                <w:szCs w:val="20"/>
              </w:rPr>
              <w:t>MPS Combined Operating Ratios</w:t>
            </w:r>
          </w:p>
          <w:p w:rsidR="00AC2978" w:rsidRPr="00AC2978" w:rsidRDefault="00AC2978" w:rsidP="00AC2978">
            <w:pPr>
              <w:pStyle w:val="ListParagraph"/>
              <w:numPr>
                <w:ilvl w:val="0"/>
                <w:numId w:val="6"/>
              </w:numPr>
              <w:spacing w:after="0"/>
              <w:jc w:val="both"/>
              <w:rPr>
                <w:rFonts w:ascii="Arial" w:hAnsi="Arial" w:cs="Arial"/>
                <w:sz w:val="20"/>
                <w:szCs w:val="20"/>
              </w:rPr>
            </w:pPr>
            <w:r>
              <w:rPr>
                <w:rFonts w:ascii="Arial" w:hAnsi="Arial" w:cs="Arial"/>
                <w:sz w:val="20"/>
                <w:szCs w:val="20"/>
              </w:rPr>
              <w:t>Product &amp; Pricing</w:t>
            </w:r>
            <w:r w:rsidRPr="00412DAD">
              <w:rPr>
                <w:rFonts w:ascii="Arial" w:hAnsi="Arial" w:cs="Arial"/>
                <w:sz w:val="20"/>
                <w:szCs w:val="20"/>
              </w:rPr>
              <w:t xml:space="preserve"> operational budget vs plan</w:t>
            </w:r>
          </w:p>
          <w:p w:rsidR="00773842" w:rsidRPr="009E22D0" w:rsidRDefault="00773842" w:rsidP="00AC2978">
            <w:pPr>
              <w:pStyle w:val="ListParagraph"/>
              <w:numPr>
                <w:ilvl w:val="0"/>
                <w:numId w:val="6"/>
              </w:numPr>
              <w:jc w:val="both"/>
              <w:rPr>
                <w:rFonts w:ascii="Arial" w:hAnsi="Arial" w:cs="Arial"/>
                <w:sz w:val="20"/>
                <w:szCs w:val="20"/>
              </w:rPr>
            </w:pPr>
            <w:r w:rsidRPr="00EC4481">
              <w:rPr>
                <w:rFonts w:ascii="Arial" w:eastAsia="Calibri" w:hAnsi="Arial" w:cs="Arial"/>
                <w:sz w:val="20"/>
                <w:szCs w:val="20"/>
              </w:rPr>
              <w:t>MPS Target Pricing Strength achieved</w:t>
            </w:r>
          </w:p>
        </w:tc>
      </w:tr>
      <w:tr w:rsidR="009E22D0" w:rsidRPr="009E22D0" w:rsidTr="009E22D0">
        <w:trPr>
          <w:trHeight w:val="578"/>
        </w:trPr>
        <w:tc>
          <w:tcPr>
            <w:tcW w:w="6346" w:type="dxa"/>
          </w:tcPr>
          <w:p w:rsidR="000208C5" w:rsidRDefault="009E22D0" w:rsidP="00516C05">
            <w:pPr>
              <w:jc w:val="both"/>
              <w:rPr>
                <w:rFonts w:ascii="Arial" w:hAnsi="Arial" w:cs="Arial"/>
                <w:b/>
                <w:sz w:val="20"/>
                <w:szCs w:val="20"/>
              </w:rPr>
            </w:pPr>
            <w:r w:rsidRPr="00C91CFA">
              <w:rPr>
                <w:rFonts w:ascii="Arial" w:hAnsi="Arial" w:cs="Arial"/>
                <w:b/>
                <w:sz w:val="20"/>
                <w:szCs w:val="20"/>
              </w:rPr>
              <w:t>Member</w:t>
            </w:r>
          </w:p>
          <w:p w:rsidR="009E22D0" w:rsidRPr="00EC4481" w:rsidRDefault="00AC2978" w:rsidP="00516C05">
            <w:pPr>
              <w:pStyle w:val="ListParagraph"/>
              <w:numPr>
                <w:ilvl w:val="0"/>
                <w:numId w:val="19"/>
              </w:numPr>
              <w:jc w:val="both"/>
              <w:rPr>
                <w:rFonts w:ascii="Arial" w:hAnsi="Arial" w:cs="Arial"/>
                <w:sz w:val="20"/>
                <w:szCs w:val="20"/>
              </w:rPr>
            </w:pPr>
            <w:r>
              <w:rPr>
                <w:rFonts w:ascii="Arial" w:hAnsi="Arial" w:cs="Arial"/>
                <w:sz w:val="20"/>
                <w:szCs w:val="20"/>
              </w:rPr>
              <w:t xml:space="preserve">Lead the </w:t>
            </w:r>
            <w:r w:rsidR="000208C5" w:rsidRPr="00EC4481">
              <w:rPr>
                <w:rFonts w:ascii="Arial" w:hAnsi="Arial" w:cs="Arial"/>
                <w:sz w:val="20"/>
                <w:szCs w:val="20"/>
              </w:rPr>
              <w:t>develop</w:t>
            </w:r>
            <w:r>
              <w:rPr>
                <w:rFonts w:ascii="Arial" w:hAnsi="Arial" w:cs="Arial"/>
                <w:sz w:val="20"/>
                <w:szCs w:val="20"/>
              </w:rPr>
              <w:t>ment of</w:t>
            </w:r>
            <w:r w:rsidR="000208C5" w:rsidRPr="00EC4481">
              <w:rPr>
                <w:rFonts w:ascii="Arial" w:hAnsi="Arial" w:cs="Arial"/>
                <w:sz w:val="20"/>
                <w:szCs w:val="20"/>
              </w:rPr>
              <w:t xml:space="preserve"> products to meet the ne</w:t>
            </w:r>
            <w:r w:rsidR="007D17D1" w:rsidRPr="00EC4481">
              <w:rPr>
                <w:rFonts w:ascii="Arial" w:hAnsi="Arial" w:cs="Arial"/>
                <w:sz w:val="20"/>
                <w:szCs w:val="20"/>
              </w:rPr>
              <w:t xml:space="preserve">eds of healthcare professionals and corporate bodies </w:t>
            </w:r>
            <w:r w:rsidR="000208C5" w:rsidRPr="00EC4481">
              <w:rPr>
                <w:rFonts w:ascii="Arial" w:hAnsi="Arial" w:cs="Arial"/>
                <w:sz w:val="20"/>
                <w:szCs w:val="20"/>
              </w:rPr>
              <w:t>in chosen markets and ensure existing product portfolio is fit for purpose.</w:t>
            </w:r>
          </w:p>
          <w:p w:rsidR="00AC2978" w:rsidRPr="00EF5F4A" w:rsidRDefault="00AC2978" w:rsidP="00516C05">
            <w:pPr>
              <w:pStyle w:val="ListParagraph"/>
              <w:numPr>
                <w:ilvl w:val="0"/>
                <w:numId w:val="19"/>
              </w:numPr>
              <w:spacing w:after="0"/>
              <w:jc w:val="both"/>
              <w:rPr>
                <w:rFonts w:ascii="Arial" w:eastAsia="Times New Roman" w:hAnsi="Arial" w:cs="Arial"/>
                <w:sz w:val="20"/>
                <w:szCs w:val="20"/>
                <w:lang w:eastAsia="en-GB"/>
              </w:rPr>
            </w:pPr>
            <w:r w:rsidRPr="00EF5F4A">
              <w:rPr>
                <w:rFonts w:ascii="Arial" w:eastAsia="Times New Roman" w:hAnsi="Arial" w:cs="Arial"/>
                <w:sz w:val="20"/>
                <w:szCs w:val="20"/>
                <w:lang w:eastAsia="en-GB"/>
              </w:rPr>
              <w:t>Establish a culture and capability in Lean / continuous improvement to drive operational efficiency and great member experiences and outcomes</w:t>
            </w:r>
          </w:p>
          <w:p w:rsidR="00AC2978" w:rsidRDefault="00AC2978" w:rsidP="00516C05">
            <w:pPr>
              <w:pStyle w:val="ListParagraph"/>
              <w:numPr>
                <w:ilvl w:val="0"/>
                <w:numId w:val="19"/>
              </w:numPr>
              <w:spacing w:after="0"/>
              <w:jc w:val="both"/>
              <w:rPr>
                <w:rFonts w:ascii="Arial" w:eastAsia="Times New Roman" w:hAnsi="Arial" w:cs="Arial"/>
                <w:sz w:val="20"/>
                <w:szCs w:val="20"/>
                <w:lang w:eastAsia="en-GB"/>
              </w:rPr>
            </w:pPr>
            <w:r w:rsidRPr="00EF5F4A">
              <w:rPr>
                <w:rFonts w:ascii="Arial" w:eastAsia="Times New Roman" w:hAnsi="Arial" w:cs="Arial"/>
                <w:sz w:val="20"/>
                <w:szCs w:val="20"/>
                <w:lang w:eastAsia="en-GB"/>
              </w:rPr>
              <w:t>Use Member Experience insight to influence strategy and plans and ensure that teams put members at the heart of all they do.</w:t>
            </w:r>
          </w:p>
          <w:p w:rsidR="00AC2978" w:rsidRDefault="00AC2978" w:rsidP="00516C05">
            <w:pPr>
              <w:pStyle w:val="ListParagraph"/>
              <w:spacing w:after="0"/>
              <w:ind w:left="360"/>
              <w:jc w:val="both"/>
              <w:rPr>
                <w:rFonts w:ascii="Arial" w:eastAsia="Times New Roman" w:hAnsi="Arial" w:cs="Arial"/>
                <w:sz w:val="20"/>
                <w:szCs w:val="20"/>
                <w:lang w:eastAsia="en-GB"/>
              </w:rPr>
            </w:pPr>
          </w:p>
          <w:p w:rsidR="00A24F5C" w:rsidRPr="00EC4481" w:rsidRDefault="00A24F5C" w:rsidP="00516C05">
            <w:pPr>
              <w:pStyle w:val="ListParagraph"/>
              <w:jc w:val="both"/>
              <w:rPr>
                <w:rFonts w:ascii="Arial" w:hAnsi="Arial" w:cs="Arial"/>
                <w:sz w:val="20"/>
                <w:szCs w:val="20"/>
              </w:rPr>
            </w:pPr>
          </w:p>
        </w:tc>
        <w:tc>
          <w:tcPr>
            <w:tcW w:w="4141" w:type="dxa"/>
          </w:tcPr>
          <w:p w:rsidR="009E22D0" w:rsidRDefault="009E22D0" w:rsidP="00516C05">
            <w:pPr>
              <w:pStyle w:val="ListParagraph"/>
              <w:jc w:val="both"/>
              <w:rPr>
                <w:rFonts w:ascii="Arial" w:hAnsi="Arial" w:cs="Arial"/>
                <w:sz w:val="20"/>
                <w:szCs w:val="20"/>
              </w:rPr>
            </w:pPr>
          </w:p>
          <w:p w:rsidR="00C955E6" w:rsidRDefault="00C955E6" w:rsidP="00516C05">
            <w:pPr>
              <w:pStyle w:val="ListParagraph"/>
              <w:numPr>
                <w:ilvl w:val="0"/>
                <w:numId w:val="4"/>
              </w:numPr>
              <w:tabs>
                <w:tab w:val="left" w:pos="3145"/>
              </w:tabs>
              <w:spacing w:after="0"/>
              <w:jc w:val="both"/>
              <w:rPr>
                <w:rFonts w:ascii="Arial" w:hAnsi="Arial" w:cs="Arial"/>
                <w:sz w:val="20"/>
                <w:szCs w:val="20"/>
              </w:rPr>
            </w:pPr>
            <w:r>
              <w:rPr>
                <w:rFonts w:ascii="Arial" w:hAnsi="Arial" w:cs="Arial"/>
                <w:sz w:val="20"/>
                <w:szCs w:val="20"/>
              </w:rPr>
              <w:t>Net Promoter Score</w:t>
            </w:r>
          </w:p>
          <w:p w:rsidR="00773842" w:rsidRPr="009E22D0" w:rsidRDefault="00773842" w:rsidP="00516C05">
            <w:pPr>
              <w:pStyle w:val="ListParagraph"/>
              <w:numPr>
                <w:ilvl w:val="0"/>
                <w:numId w:val="4"/>
              </w:numPr>
              <w:tabs>
                <w:tab w:val="left" w:pos="3145"/>
              </w:tabs>
              <w:spacing w:after="0"/>
              <w:jc w:val="both"/>
              <w:rPr>
                <w:rFonts w:ascii="Arial" w:hAnsi="Arial" w:cs="Arial"/>
                <w:sz w:val="20"/>
                <w:szCs w:val="20"/>
              </w:rPr>
            </w:pPr>
            <w:r>
              <w:rPr>
                <w:rFonts w:ascii="Arial" w:hAnsi="Arial" w:cs="Arial"/>
                <w:sz w:val="20"/>
                <w:szCs w:val="20"/>
              </w:rPr>
              <w:t>Member Satisfaction Survey</w:t>
            </w:r>
          </w:p>
        </w:tc>
      </w:tr>
      <w:tr w:rsidR="009E22D0" w:rsidRPr="009E22D0" w:rsidTr="009E22D0">
        <w:trPr>
          <w:trHeight w:val="591"/>
        </w:trPr>
        <w:tc>
          <w:tcPr>
            <w:tcW w:w="6346" w:type="dxa"/>
          </w:tcPr>
          <w:p w:rsidR="009E22D0" w:rsidRPr="00C91CFA" w:rsidRDefault="009E22D0" w:rsidP="00516C05">
            <w:pPr>
              <w:jc w:val="both"/>
              <w:rPr>
                <w:rFonts w:ascii="Arial" w:hAnsi="Arial" w:cs="Arial"/>
                <w:b/>
                <w:sz w:val="20"/>
                <w:szCs w:val="20"/>
              </w:rPr>
            </w:pPr>
            <w:r w:rsidRPr="00C91CFA">
              <w:rPr>
                <w:rFonts w:ascii="Arial" w:hAnsi="Arial" w:cs="Arial"/>
                <w:b/>
                <w:sz w:val="20"/>
                <w:szCs w:val="20"/>
              </w:rPr>
              <w:t>People</w:t>
            </w:r>
          </w:p>
          <w:p w:rsidR="00A24F5C" w:rsidRPr="002F67B1" w:rsidRDefault="00A24F5C" w:rsidP="00516C05">
            <w:pPr>
              <w:pStyle w:val="ListParagraph"/>
              <w:numPr>
                <w:ilvl w:val="0"/>
                <w:numId w:val="20"/>
              </w:numPr>
              <w:spacing w:after="0"/>
              <w:jc w:val="both"/>
              <w:rPr>
                <w:rFonts w:ascii="Arial" w:hAnsi="Arial" w:cs="Arial"/>
                <w:sz w:val="20"/>
                <w:szCs w:val="20"/>
              </w:rPr>
            </w:pPr>
            <w:r>
              <w:rPr>
                <w:rFonts w:ascii="Arial" w:hAnsi="Arial" w:cs="Arial"/>
                <w:sz w:val="20"/>
                <w:szCs w:val="20"/>
              </w:rPr>
              <w:t xml:space="preserve">Provide strong </w:t>
            </w:r>
            <w:r w:rsidRPr="002F67B1">
              <w:rPr>
                <w:rFonts w:ascii="Arial" w:hAnsi="Arial" w:cs="Arial"/>
                <w:sz w:val="20"/>
                <w:szCs w:val="20"/>
              </w:rPr>
              <w:t xml:space="preserve">leadership </w:t>
            </w:r>
            <w:r>
              <w:rPr>
                <w:rFonts w:ascii="Arial" w:hAnsi="Arial" w:cs="Arial"/>
                <w:sz w:val="20"/>
                <w:szCs w:val="20"/>
              </w:rPr>
              <w:t xml:space="preserve">to the Product &amp; Pricing team </w:t>
            </w:r>
            <w:r w:rsidRPr="002F67B1">
              <w:rPr>
                <w:rFonts w:ascii="Arial" w:hAnsi="Arial" w:cs="Arial"/>
                <w:sz w:val="20"/>
                <w:szCs w:val="20"/>
              </w:rPr>
              <w:t>to ensure the training,  competence, performance and engagement of all employees who are focussed on delivering for members, have clarity on their accountabilities and comply with all governance,  policy standards  and processes</w:t>
            </w:r>
          </w:p>
          <w:p w:rsidR="00A24F5C" w:rsidRDefault="00A24F5C" w:rsidP="00516C05">
            <w:pPr>
              <w:pStyle w:val="ListParagraph"/>
              <w:numPr>
                <w:ilvl w:val="0"/>
                <w:numId w:val="20"/>
              </w:numPr>
              <w:jc w:val="both"/>
              <w:rPr>
                <w:rFonts w:ascii="Arial" w:hAnsi="Arial" w:cs="Arial"/>
                <w:sz w:val="20"/>
                <w:szCs w:val="20"/>
              </w:rPr>
            </w:pPr>
            <w:r w:rsidRPr="002F67B1">
              <w:rPr>
                <w:rFonts w:ascii="Arial" w:hAnsi="Arial" w:cs="Arial"/>
                <w:sz w:val="20"/>
                <w:szCs w:val="20"/>
              </w:rPr>
              <w:t>Build a strong pipeline of diverse talent and succession across the</w:t>
            </w:r>
            <w:r>
              <w:rPr>
                <w:rFonts w:ascii="Arial" w:hAnsi="Arial" w:cs="Arial"/>
                <w:sz w:val="20"/>
                <w:szCs w:val="20"/>
              </w:rPr>
              <w:t xml:space="preserve"> Commercial Services Division</w:t>
            </w:r>
            <w:r w:rsidRPr="002F67B1">
              <w:rPr>
                <w:rFonts w:ascii="Arial" w:hAnsi="Arial" w:cs="Arial"/>
                <w:sz w:val="20"/>
                <w:szCs w:val="20"/>
              </w:rPr>
              <w:t xml:space="preserve"> for the benefit of MPS which will mitigate workforce planning risks, embraces diversity and maximises the performance and potential of employees.</w:t>
            </w:r>
          </w:p>
          <w:p w:rsidR="00EC4481" w:rsidRPr="00EC4481" w:rsidRDefault="00EC4481" w:rsidP="00516C05">
            <w:pPr>
              <w:pStyle w:val="ListParagraph"/>
              <w:jc w:val="both"/>
              <w:rPr>
                <w:rFonts w:ascii="Arial" w:hAnsi="Arial" w:cs="Arial"/>
                <w:sz w:val="20"/>
                <w:szCs w:val="20"/>
              </w:rPr>
            </w:pPr>
          </w:p>
        </w:tc>
        <w:tc>
          <w:tcPr>
            <w:tcW w:w="4141" w:type="dxa"/>
          </w:tcPr>
          <w:p w:rsidR="00EC4481" w:rsidRDefault="00EC4481" w:rsidP="00516C05">
            <w:pPr>
              <w:pStyle w:val="ListParagraph"/>
              <w:spacing w:after="0"/>
              <w:jc w:val="both"/>
              <w:rPr>
                <w:rFonts w:ascii="Arial" w:hAnsi="Arial" w:cs="Arial"/>
                <w:sz w:val="20"/>
                <w:szCs w:val="20"/>
              </w:rPr>
            </w:pPr>
          </w:p>
          <w:p w:rsidR="009E22D0" w:rsidRPr="009E22D0" w:rsidRDefault="009E22D0" w:rsidP="00516C05">
            <w:pPr>
              <w:pStyle w:val="ListParagraph"/>
              <w:numPr>
                <w:ilvl w:val="0"/>
                <w:numId w:val="4"/>
              </w:numPr>
              <w:spacing w:after="0"/>
              <w:jc w:val="both"/>
              <w:rPr>
                <w:rFonts w:ascii="Arial" w:hAnsi="Arial" w:cs="Arial"/>
                <w:sz w:val="20"/>
                <w:szCs w:val="20"/>
              </w:rPr>
            </w:pPr>
            <w:r w:rsidRPr="009E22D0">
              <w:rPr>
                <w:rFonts w:ascii="Arial" w:hAnsi="Arial" w:cs="Arial"/>
                <w:sz w:val="20"/>
                <w:szCs w:val="20"/>
              </w:rPr>
              <w:t>Engagement Index Vs MPS</w:t>
            </w:r>
          </w:p>
          <w:p w:rsidR="009E22D0" w:rsidRPr="009E22D0" w:rsidRDefault="009E22D0" w:rsidP="00516C05">
            <w:pPr>
              <w:pStyle w:val="ListParagraph"/>
              <w:numPr>
                <w:ilvl w:val="0"/>
                <w:numId w:val="4"/>
              </w:numPr>
              <w:spacing w:after="0"/>
              <w:jc w:val="both"/>
              <w:rPr>
                <w:rFonts w:ascii="Arial" w:hAnsi="Arial" w:cs="Arial"/>
                <w:sz w:val="20"/>
                <w:szCs w:val="20"/>
              </w:rPr>
            </w:pPr>
            <w:r w:rsidRPr="009E22D0">
              <w:rPr>
                <w:rFonts w:ascii="Arial" w:hAnsi="Arial" w:cs="Arial"/>
                <w:sz w:val="20"/>
                <w:szCs w:val="20"/>
              </w:rPr>
              <w:t>Leadership Index Vs MPS</w:t>
            </w:r>
          </w:p>
          <w:p w:rsidR="009E22D0" w:rsidRPr="009E22D0" w:rsidRDefault="009E22D0" w:rsidP="00516C05">
            <w:pPr>
              <w:pStyle w:val="ListParagraph"/>
              <w:numPr>
                <w:ilvl w:val="0"/>
                <w:numId w:val="4"/>
              </w:numPr>
              <w:spacing w:after="0"/>
              <w:jc w:val="both"/>
              <w:rPr>
                <w:rFonts w:ascii="Arial" w:hAnsi="Arial" w:cs="Arial"/>
                <w:sz w:val="20"/>
                <w:szCs w:val="20"/>
              </w:rPr>
            </w:pPr>
            <w:r w:rsidRPr="009E22D0">
              <w:rPr>
                <w:rFonts w:ascii="Arial" w:hAnsi="Arial" w:cs="Arial"/>
                <w:sz w:val="20"/>
                <w:szCs w:val="20"/>
              </w:rPr>
              <w:t>Strong Talent and Succession Plans</w:t>
            </w:r>
          </w:p>
          <w:p w:rsidR="009E22D0" w:rsidRPr="009E22D0" w:rsidRDefault="009E22D0" w:rsidP="00516C05">
            <w:pPr>
              <w:pStyle w:val="ListParagraph"/>
              <w:numPr>
                <w:ilvl w:val="0"/>
                <w:numId w:val="4"/>
              </w:numPr>
              <w:tabs>
                <w:tab w:val="left" w:pos="3145"/>
              </w:tabs>
              <w:spacing w:after="0"/>
              <w:jc w:val="both"/>
              <w:rPr>
                <w:rFonts w:ascii="Arial" w:hAnsi="Arial" w:cs="Arial"/>
                <w:sz w:val="20"/>
                <w:szCs w:val="20"/>
              </w:rPr>
            </w:pPr>
            <w:r w:rsidRPr="009E22D0">
              <w:rPr>
                <w:rFonts w:ascii="Arial" w:hAnsi="Arial" w:cs="Arial"/>
                <w:sz w:val="20"/>
                <w:szCs w:val="20"/>
              </w:rPr>
              <w:t>HR Metrics – attrition, absence</w:t>
            </w:r>
            <w:r w:rsidRPr="009E22D0">
              <w:rPr>
                <w:rFonts w:ascii="Arial" w:hAnsi="Arial" w:cs="Arial"/>
                <w:sz w:val="20"/>
                <w:szCs w:val="20"/>
              </w:rPr>
              <w:tab/>
            </w:r>
          </w:p>
        </w:tc>
      </w:tr>
      <w:tr w:rsidR="009E22D0" w:rsidRPr="009E22D0" w:rsidTr="009E22D0">
        <w:trPr>
          <w:trHeight w:val="591"/>
        </w:trPr>
        <w:tc>
          <w:tcPr>
            <w:tcW w:w="6346" w:type="dxa"/>
          </w:tcPr>
          <w:p w:rsidR="00010AFE" w:rsidRDefault="009E22D0" w:rsidP="00516C05">
            <w:pPr>
              <w:jc w:val="both"/>
              <w:rPr>
                <w:rFonts w:ascii="Arial" w:hAnsi="Arial" w:cs="Arial"/>
                <w:b/>
                <w:sz w:val="20"/>
                <w:szCs w:val="20"/>
              </w:rPr>
            </w:pPr>
            <w:r w:rsidRPr="00C91CFA">
              <w:rPr>
                <w:rFonts w:ascii="Arial" w:hAnsi="Arial" w:cs="Arial"/>
                <w:b/>
                <w:sz w:val="20"/>
                <w:szCs w:val="20"/>
              </w:rPr>
              <w:t>Risk</w:t>
            </w:r>
          </w:p>
          <w:p w:rsidR="00010AFE" w:rsidRDefault="00010AFE" w:rsidP="00516C05">
            <w:pPr>
              <w:pStyle w:val="ListParagraph"/>
              <w:numPr>
                <w:ilvl w:val="0"/>
                <w:numId w:val="22"/>
              </w:numPr>
              <w:jc w:val="both"/>
              <w:rPr>
                <w:rFonts w:ascii="Arial" w:hAnsi="Arial" w:cs="Arial"/>
                <w:sz w:val="20"/>
                <w:szCs w:val="20"/>
              </w:rPr>
            </w:pPr>
            <w:r>
              <w:rPr>
                <w:rFonts w:ascii="Arial" w:hAnsi="Arial" w:cs="Arial"/>
                <w:sz w:val="20"/>
                <w:szCs w:val="20"/>
              </w:rPr>
              <w:t>Create an environment where colleagues recognise the importance of risk identification and management.</w:t>
            </w:r>
          </w:p>
          <w:p w:rsidR="00CD2F6F" w:rsidRPr="00010AFE" w:rsidRDefault="00CD2F6F" w:rsidP="00516C05">
            <w:pPr>
              <w:pStyle w:val="ListParagraph"/>
              <w:numPr>
                <w:ilvl w:val="0"/>
                <w:numId w:val="22"/>
              </w:numPr>
              <w:jc w:val="both"/>
              <w:rPr>
                <w:rFonts w:ascii="Arial" w:hAnsi="Arial" w:cs="Arial"/>
                <w:sz w:val="20"/>
                <w:szCs w:val="20"/>
              </w:rPr>
            </w:pPr>
            <w:r w:rsidRPr="00010AFE">
              <w:rPr>
                <w:rFonts w:ascii="Arial" w:hAnsi="Arial" w:cs="Arial"/>
                <w:sz w:val="20"/>
                <w:szCs w:val="20"/>
              </w:rPr>
              <w:t>Ensuring that both pricing and products are cognisant of the risks involved in clinical n</w:t>
            </w:r>
            <w:r w:rsidR="00A97D36" w:rsidRPr="00010AFE">
              <w:rPr>
                <w:rFonts w:ascii="Arial" w:hAnsi="Arial" w:cs="Arial"/>
                <w:sz w:val="20"/>
                <w:szCs w:val="20"/>
              </w:rPr>
              <w:t>egligence and indemnity (both claims and “non-claims”) particular in regard to long-tail exposure to birth injury risks</w:t>
            </w:r>
          </w:p>
          <w:p w:rsidR="00A97D36" w:rsidRDefault="00A97D36" w:rsidP="00516C05">
            <w:pPr>
              <w:pStyle w:val="ListParagraph"/>
              <w:numPr>
                <w:ilvl w:val="0"/>
                <w:numId w:val="21"/>
              </w:numPr>
              <w:jc w:val="both"/>
              <w:rPr>
                <w:rFonts w:ascii="Arial" w:hAnsi="Arial" w:cs="Arial"/>
                <w:sz w:val="20"/>
                <w:szCs w:val="20"/>
              </w:rPr>
            </w:pPr>
            <w:r w:rsidRPr="00010AFE">
              <w:rPr>
                <w:rFonts w:ascii="Arial" w:hAnsi="Arial" w:cs="Arial"/>
                <w:sz w:val="20"/>
                <w:szCs w:val="20"/>
              </w:rPr>
              <w:t>Ensuring product governance is fit for purpose in the new environment</w:t>
            </w:r>
            <w:r w:rsidR="007D17D1" w:rsidRPr="00010AFE">
              <w:rPr>
                <w:rFonts w:ascii="Arial" w:hAnsi="Arial" w:cs="Arial"/>
                <w:sz w:val="20"/>
                <w:szCs w:val="20"/>
              </w:rPr>
              <w:t>s</w:t>
            </w:r>
            <w:r w:rsidRPr="00010AFE">
              <w:rPr>
                <w:rFonts w:ascii="Arial" w:hAnsi="Arial" w:cs="Arial"/>
                <w:sz w:val="20"/>
                <w:szCs w:val="20"/>
              </w:rPr>
              <w:t xml:space="preserve"> that MPS may face.</w:t>
            </w:r>
          </w:p>
          <w:p w:rsidR="009E22D0" w:rsidRPr="009E22D0" w:rsidRDefault="00010AFE" w:rsidP="00516C05">
            <w:pPr>
              <w:pStyle w:val="ListParagraph"/>
              <w:numPr>
                <w:ilvl w:val="0"/>
                <w:numId w:val="21"/>
              </w:numPr>
              <w:jc w:val="both"/>
              <w:rPr>
                <w:rFonts w:ascii="Arial" w:hAnsi="Arial" w:cs="Arial"/>
                <w:sz w:val="20"/>
                <w:szCs w:val="20"/>
              </w:rPr>
            </w:pPr>
            <w:r>
              <w:rPr>
                <w:rFonts w:ascii="Arial" w:hAnsi="Arial" w:cs="Arial"/>
                <w:sz w:val="20"/>
                <w:szCs w:val="20"/>
              </w:rPr>
              <w:t xml:space="preserve">Ensure appropriate business processes and controls are in place to manage the division within risk appetite; comply with policies </w:t>
            </w:r>
            <w:r>
              <w:rPr>
                <w:rFonts w:ascii="Arial" w:hAnsi="Arial" w:cs="Arial"/>
                <w:sz w:val="20"/>
                <w:szCs w:val="20"/>
              </w:rPr>
              <w:lastRenderedPageBreak/>
              <w:t>and regulatory requirements</w:t>
            </w:r>
          </w:p>
        </w:tc>
        <w:tc>
          <w:tcPr>
            <w:tcW w:w="4141" w:type="dxa"/>
          </w:tcPr>
          <w:p w:rsidR="009E22D0" w:rsidRPr="00010AFE" w:rsidRDefault="009E22D0" w:rsidP="00516C05">
            <w:pPr>
              <w:pStyle w:val="ListParagraph"/>
              <w:numPr>
                <w:ilvl w:val="0"/>
                <w:numId w:val="5"/>
              </w:numPr>
              <w:jc w:val="both"/>
              <w:rPr>
                <w:rFonts w:ascii="Arial" w:hAnsi="Arial" w:cs="Arial"/>
                <w:sz w:val="20"/>
                <w:szCs w:val="20"/>
              </w:rPr>
            </w:pPr>
            <w:r w:rsidRPr="009E22D0">
              <w:rPr>
                <w:rFonts w:ascii="Arial" w:eastAsia="Calibri" w:hAnsi="Arial" w:cs="Arial"/>
                <w:sz w:val="20"/>
                <w:szCs w:val="20"/>
              </w:rPr>
              <w:lastRenderedPageBreak/>
              <w:t>Risk &amp; Control Self- Assessments</w:t>
            </w:r>
            <w:r w:rsidR="001D2190">
              <w:rPr>
                <w:rFonts w:ascii="Arial" w:eastAsia="Calibri" w:hAnsi="Arial" w:cs="Arial"/>
                <w:sz w:val="20"/>
                <w:szCs w:val="20"/>
              </w:rPr>
              <w:t xml:space="preserve"> and </w:t>
            </w:r>
            <w:r w:rsidR="0056188D">
              <w:rPr>
                <w:rFonts w:ascii="Arial" w:eastAsia="Calibri" w:hAnsi="Arial" w:cs="Arial"/>
                <w:sz w:val="20"/>
                <w:szCs w:val="20"/>
              </w:rPr>
              <w:t xml:space="preserve"> </w:t>
            </w:r>
            <w:r w:rsidRPr="009E22D0">
              <w:rPr>
                <w:rFonts w:ascii="Arial" w:eastAsia="Calibri" w:hAnsi="Arial" w:cs="Arial"/>
                <w:sz w:val="20"/>
                <w:szCs w:val="20"/>
              </w:rPr>
              <w:t>Audit Actions</w:t>
            </w:r>
          </w:p>
          <w:p w:rsidR="00010AFE" w:rsidRPr="00010AFE" w:rsidRDefault="00010AFE" w:rsidP="00516C05">
            <w:pPr>
              <w:pStyle w:val="ListParagraph"/>
              <w:numPr>
                <w:ilvl w:val="0"/>
                <w:numId w:val="5"/>
              </w:numPr>
              <w:jc w:val="both"/>
              <w:rPr>
                <w:rFonts w:ascii="Arial" w:hAnsi="Arial" w:cs="Arial"/>
                <w:sz w:val="20"/>
                <w:szCs w:val="20"/>
              </w:rPr>
            </w:pPr>
            <w:r>
              <w:rPr>
                <w:rFonts w:ascii="Arial" w:eastAsia="Calibri" w:hAnsi="Arial" w:cs="Arial"/>
                <w:sz w:val="20"/>
                <w:szCs w:val="20"/>
              </w:rPr>
              <w:t>Conduct risk</w:t>
            </w:r>
          </w:p>
          <w:p w:rsidR="00010AFE" w:rsidRPr="009E22D0" w:rsidRDefault="00010AFE" w:rsidP="00516C05">
            <w:pPr>
              <w:pStyle w:val="ListParagraph"/>
              <w:numPr>
                <w:ilvl w:val="0"/>
                <w:numId w:val="5"/>
              </w:numPr>
              <w:jc w:val="both"/>
              <w:rPr>
                <w:rFonts w:ascii="Arial" w:hAnsi="Arial" w:cs="Arial"/>
                <w:sz w:val="20"/>
                <w:szCs w:val="20"/>
              </w:rPr>
            </w:pPr>
            <w:r>
              <w:rPr>
                <w:rFonts w:ascii="Arial" w:eastAsia="Calibri" w:hAnsi="Arial" w:cs="Arial"/>
                <w:sz w:val="20"/>
                <w:szCs w:val="20"/>
              </w:rPr>
              <w:t>Financial risk</w:t>
            </w:r>
          </w:p>
        </w:tc>
      </w:tr>
    </w:tbl>
    <w:p w:rsidR="00FB4711" w:rsidRDefault="00FB4711"/>
    <w:tbl>
      <w:tblPr>
        <w:tblStyle w:val="TableGrid"/>
        <w:tblW w:w="10490" w:type="dxa"/>
        <w:tblInd w:w="-743" w:type="dxa"/>
        <w:tblLook w:val="04A0" w:firstRow="1" w:lastRow="0" w:firstColumn="1" w:lastColumn="0" w:noHBand="0" w:noVBand="1"/>
      </w:tblPr>
      <w:tblGrid>
        <w:gridCol w:w="10490"/>
      </w:tblGrid>
      <w:tr w:rsidR="009E22D0" w:rsidRPr="009E22D0" w:rsidTr="00FF16B8">
        <w:trPr>
          <w:trHeight w:val="456"/>
        </w:trPr>
        <w:tc>
          <w:tcPr>
            <w:tcW w:w="10490" w:type="dxa"/>
            <w:shd w:val="clear" w:color="auto" w:fill="D9D9D9" w:themeFill="background1" w:themeFillShade="D9"/>
          </w:tcPr>
          <w:p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p>
          <w:p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Responsibilities (</w:t>
            </w:r>
            <w:r w:rsidRPr="00C91CFA">
              <w:rPr>
                <w:rFonts w:ascii="Arial" w:hAnsi="Arial" w:cs="Arial"/>
                <w:b/>
                <w:sz w:val="20"/>
                <w:szCs w:val="20"/>
                <w:u w:val="single"/>
              </w:rPr>
              <w:t>R</w:t>
            </w:r>
            <w:r>
              <w:rPr>
                <w:rFonts w:ascii="Arial" w:hAnsi="Arial" w:cs="Arial"/>
                <w:b/>
                <w:sz w:val="20"/>
                <w:szCs w:val="20"/>
              </w:rPr>
              <w:t>ACI)</w:t>
            </w:r>
          </w:p>
        </w:tc>
      </w:tr>
      <w:tr w:rsidR="009E22D0" w:rsidRPr="009E22D0" w:rsidTr="00FF16B8">
        <w:trPr>
          <w:trHeight w:val="693"/>
        </w:trPr>
        <w:tc>
          <w:tcPr>
            <w:tcW w:w="10490" w:type="dxa"/>
          </w:tcPr>
          <w:p w:rsidR="004D18E8" w:rsidRDefault="000208C5" w:rsidP="00516C05">
            <w:pPr>
              <w:pStyle w:val="ListParagraph"/>
              <w:numPr>
                <w:ilvl w:val="0"/>
                <w:numId w:val="5"/>
              </w:numPr>
              <w:jc w:val="both"/>
              <w:rPr>
                <w:rFonts w:ascii="Arial" w:hAnsi="Arial" w:cs="Arial"/>
                <w:sz w:val="20"/>
                <w:szCs w:val="20"/>
              </w:rPr>
            </w:pPr>
            <w:r>
              <w:rPr>
                <w:rFonts w:ascii="Arial" w:hAnsi="Arial" w:cs="Arial"/>
                <w:sz w:val="20"/>
                <w:szCs w:val="20"/>
              </w:rPr>
              <w:t>To deliver pricing for all members of MPS, whether discretionary indemnity or insurance-based, individual or corporate</w:t>
            </w:r>
          </w:p>
          <w:p w:rsidR="00AC2978" w:rsidRPr="002C5BC2" w:rsidRDefault="00AC2978" w:rsidP="00516C05">
            <w:pPr>
              <w:pStyle w:val="ListParagraph"/>
              <w:numPr>
                <w:ilvl w:val="0"/>
                <w:numId w:val="5"/>
              </w:numPr>
              <w:spacing w:before="0" w:beforeAutospacing="0" w:after="0" w:afterAutospacing="0"/>
              <w:jc w:val="both"/>
              <w:rPr>
                <w:rFonts w:ascii="Arial" w:hAnsi="Arial" w:cs="Arial"/>
                <w:sz w:val="20"/>
                <w:szCs w:val="20"/>
              </w:rPr>
            </w:pPr>
            <w:r>
              <w:rPr>
                <w:rFonts w:ascii="Arial" w:hAnsi="Arial" w:cs="Arial"/>
                <w:sz w:val="20"/>
                <w:szCs w:val="20"/>
              </w:rPr>
              <w:t>Encourage</w:t>
            </w:r>
            <w:r w:rsidRPr="002C5BC2">
              <w:rPr>
                <w:rFonts w:ascii="Arial" w:hAnsi="Arial" w:cs="Arial"/>
                <w:sz w:val="20"/>
                <w:szCs w:val="20"/>
              </w:rPr>
              <w:t xml:space="preserve"> product and proposition innovation, development and lifecycle management ensuring products perform as designed, remain current and relevant for members and are affordable and competitive in the market</w:t>
            </w:r>
          </w:p>
          <w:p w:rsidR="009E22D0" w:rsidRPr="007C78EC" w:rsidRDefault="009E22D0" w:rsidP="007C78EC">
            <w:pPr>
              <w:pStyle w:val="ListParagraph"/>
              <w:tabs>
                <w:tab w:val="left" w:pos="4125"/>
              </w:tabs>
              <w:ind w:left="360"/>
              <w:jc w:val="both"/>
              <w:rPr>
                <w:rFonts w:ascii="Arial" w:hAnsi="Arial" w:cs="Arial"/>
                <w:sz w:val="20"/>
                <w:szCs w:val="20"/>
              </w:rPr>
            </w:pPr>
          </w:p>
        </w:tc>
      </w:tr>
    </w:tbl>
    <w:p w:rsidR="00A24F5C" w:rsidRDefault="00A24F5C"/>
    <w:tbl>
      <w:tblPr>
        <w:tblStyle w:val="TableGrid"/>
        <w:tblW w:w="10490" w:type="dxa"/>
        <w:tblInd w:w="-743" w:type="dxa"/>
        <w:tblLook w:val="04A0" w:firstRow="1" w:lastRow="0" w:firstColumn="1" w:lastColumn="0" w:noHBand="0" w:noVBand="1"/>
      </w:tblPr>
      <w:tblGrid>
        <w:gridCol w:w="10490"/>
      </w:tblGrid>
      <w:tr w:rsidR="00A24F5C" w:rsidRPr="00B75089" w:rsidTr="00A96E05">
        <w:trPr>
          <w:trHeight w:val="315"/>
        </w:trPr>
        <w:tc>
          <w:tcPr>
            <w:tcW w:w="10490" w:type="dxa"/>
            <w:shd w:val="clear" w:color="auto" w:fill="D9D9D9" w:themeFill="background1" w:themeFillShade="D9"/>
            <w:vAlign w:val="center"/>
          </w:tcPr>
          <w:p w:rsidR="00A24F5C" w:rsidRPr="00B75089" w:rsidRDefault="00A24F5C" w:rsidP="00A96E0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A24F5C" w:rsidRPr="00B75089" w:rsidTr="00A96E05">
        <w:trPr>
          <w:trHeight w:val="277"/>
        </w:trPr>
        <w:tc>
          <w:tcPr>
            <w:tcW w:w="10490" w:type="dxa"/>
          </w:tcPr>
          <w:p w:rsidR="00A24F5C" w:rsidRDefault="00A24F5C" w:rsidP="00A24F5C">
            <w:pPr>
              <w:pStyle w:val="ListParagraph"/>
              <w:numPr>
                <w:ilvl w:val="0"/>
                <w:numId w:val="25"/>
              </w:numPr>
              <w:rPr>
                <w:rFonts w:ascii="Arial" w:hAnsi="Arial" w:cs="Arial"/>
                <w:sz w:val="20"/>
                <w:szCs w:val="20"/>
              </w:rPr>
            </w:pPr>
            <w:r>
              <w:rPr>
                <w:rFonts w:ascii="Arial" w:hAnsi="Arial" w:cs="Arial"/>
                <w:sz w:val="20"/>
                <w:szCs w:val="20"/>
              </w:rPr>
              <w:t>To be a key contributor to the Product, Pricing and Underwriting Committee as necessary</w:t>
            </w:r>
          </w:p>
          <w:p w:rsidR="00AC2978" w:rsidRDefault="00AC2978" w:rsidP="00A24F5C">
            <w:pPr>
              <w:pStyle w:val="ListParagraph"/>
              <w:numPr>
                <w:ilvl w:val="0"/>
                <w:numId w:val="25"/>
              </w:numPr>
              <w:rPr>
                <w:rFonts w:ascii="Arial" w:hAnsi="Arial" w:cs="Arial"/>
                <w:sz w:val="20"/>
                <w:szCs w:val="20"/>
              </w:rPr>
            </w:pPr>
            <w:r>
              <w:rPr>
                <w:rFonts w:ascii="Arial" w:hAnsi="Arial" w:cs="Arial"/>
                <w:sz w:val="20"/>
                <w:szCs w:val="20"/>
              </w:rPr>
              <w:t xml:space="preserve">Contribute to the Asset and Liability Committee as necessary </w:t>
            </w:r>
          </w:p>
          <w:p w:rsidR="00A24F5C" w:rsidRPr="00AA0FE5" w:rsidRDefault="00A24F5C" w:rsidP="00A24F5C">
            <w:pPr>
              <w:pStyle w:val="ListParagraph"/>
              <w:spacing w:before="0" w:beforeAutospacing="0" w:after="0" w:afterAutospacing="0"/>
              <w:ind w:left="360"/>
              <w:rPr>
                <w:rFonts w:ascii="Arial" w:hAnsi="Arial" w:cs="Arial"/>
                <w:sz w:val="20"/>
                <w:szCs w:val="20"/>
              </w:rPr>
            </w:pPr>
          </w:p>
        </w:tc>
      </w:tr>
    </w:tbl>
    <w:p w:rsidR="00A24F5C" w:rsidRDefault="00A24F5C"/>
    <w:tbl>
      <w:tblPr>
        <w:tblStyle w:val="TableGrid"/>
        <w:tblW w:w="10490" w:type="dxa"/>
        <w:tblInd w:w="-743" w:type="dxa"/>
        <w:tblLook w:val="04A0" w:firstRow="1" w:lastRow="0" w:firstColumn="1" w:lastColumn="0" w:noHBand="0" w:noVBand="1"/>
      </w:tblPr>
      <w:tblGrid>
        <w:gridCol w:w="6008"/>
        <w:gridCol w:w="4482"/>
      </w:tblGrid>
      <w:tr w:rsidR="0056188D" w:rsidRPr="00C91CFA" w:rsidTr="00FF16B8">
        <w:trPr>
          <w:trHeight w:val="310"/>
        </w:trPr>
        <w:tc>
          <w:tcPr>
            <w:tcW w:w="6008" w:type="dxa"/>
            <w:shd w:val="clear" w:color="auto" w:fill="D9D9D9" w:themeFill="background1" w:themeFillShade="D9"/>
          </w:tcPr>
          <w:p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Leadership Framework Competencies</w:t>
            </w:r>
          </w:p>
        </w:tc>
        <w:tc>
          <w:tcPr>
            <w:tcW w:w="4482" w:type="dxa"/>
            <w:shd w:val="clear" w:color="auto" w:fill="D9D9D9" w:themeFill="background1" w:themeFillShade="D9"/>
          </w:tcPr>
          <w:p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Level</w:t>
            </w:r>
          </w:p>
          <w:p w:rsidR="0056188D" w:rsidRPr="00717094" w:rsidRDefault="0056188D" w:rsidP="00F12CF8">
            <w:pPr>
              <w:widowControl w:val="0"/>
              <w:autoSpaceDE w:val="0"/>
              <w:autoSpaceDN w:val="0"/>
              <w:adjustRightInd w:val="0"/>
              <w:spacing w:before="3" w:after="0" w:line="170" w:lineRule="exact"/>
              <w:rPr>
                <w:rFonts w:ascii="Arial" w:hAnsi="Arial" w:cs="Arial"/>
                <w:i/>
                <w:sz w:val="20"/>
                <w:szCs w:val="20"/>
              </w:rPr>
            </w:pPr>
          </w:p>
        </w:tc>
      </w:tr>
      <w:tr w:rsidR="0056188D" w:rsidRPr="0056188D" w:rsidTr="00FF16B8">
        <w:trPr>
          <w:trHeight w:val="211"/>
        </w:trPr>
        <w:tc>
          <w:tcPr>
            <w:tcW w:w="6008"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Fresh Thinking</w:t>
            </w:r>
          </w:p>
        </w:tc>
        <w:tc>
          <w:tcPr>
            <w:tcW w:w="4482" w:type="dxa"/>
          </w:tcPr>
          <w:p w:rsidR="0056188D" w:rsidRPr="0056188D" w:rsidRDefault="00F12CF8" w:rsidP="00F12CF8">
            <w:pPr>
              <w:spacing w:after="0"/>
              <w:rPr>
                <w:rFonts w:ascii="Arial" w:hAnsi="Arial" w:cs="Arial"/>
                <w:sz w:val="20"/>
                <w:szCs w:val="20"/>
              </w:rPr>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Building Capability</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Influencing Others</w:t>
            </w:r>
          </w:p>
        </w:tc>
        <w:tc>
          <w:tcPr>
            <w:tcW w:w="4482" w:type="dxa"/>
          </w:tcPr>
          <w:p w:rsidR="004D18E8" w:rsidRDefault="00F12CF8" w:rsidP="004D18E8">
            <w:pPr>
              <w:spacing w:after="0"/>
            </w:pPr>
            <w:r>
              <w:rPr>
                <w:rFonts w:ascii="Arial" w:hAnsi="Arial" w:cs="Arial"/>
                <w:sz w:val="20"/>
                <w:szCs w:val="20"/>
              </w:rPr>
              <w:t>Leading O</w:t>
            </w:r>
            <w:r w:rsidR="00A24F5C">
              <w:rPr>
                <w:rFonts w:ascii="Arial" w:hAnsi="Arial" w:cs="Arial"/>
                <w:sz w:val="20"/>
                <w:szCs w:val="20"/>
              </w:rPr>
              <w:t>rganisation</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Collaborating</w:t>
            </w:r>
            <w:r w:rsidR="00A24F5C">
              <w:rPr>
                <w:rFonts w:ascii="Arial" w:hAnsi="Arial" w:cs="Arial"/>
                <w:sz w:val="20"/>
                <w:szCs w:val="20"/>
              </w:rPr>
              <w:t xml:space="preserve"> for results </w:t>
            </w:r>
          </w:p>
        </w:tc>
        <w:tc>
          <w:tcPr>
            <w:tcW w:w="4482" w:type="dxa"/>
          </w:tcPr>
          <w:p w:rsidR="004D18E8" w:rsidRDefault="00F12CF8" w:rsidP="004D18E8">
            <w:pPr>
              <w:spacing w:after="0"/>
            </w:pPr>
            <w:r>
              <w:rPr>
                <w:rFonts w:ascii="Arial" w:hAnsi="Arial" w:cs="Arial"/>
                <w:sz w:val="20"/>
                <w:szCs w:val="20"/>
              </w:rPr>
              <w:t>Leading O</w:t>
            </w:r>
            <w:r w:rsidR="00A24F5C">
              <w:rPr>
                <w:rFonts w:ascii="Arial" w:hAnsi="Arial" w:cs="Arial"/>
                <w:sz w:val="20"/>
                <w:szCs w:val="20"/>
              </w:rPr>
              <w:t>rganisation</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Leading Self and Others</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Commercial and Risk</w:t>
            </w:r>
          </w:p>
        </w:tc>
        <w:tc>
          <w:tcPr>
            <w:tcW w:w="4482" w:type="dxa"/>
          </w:tcPr>
          <w:p w:rsidR="004D18E8" w:rsidRDefault="00F12CF8" w:rsidP="004D18E8">
            <w:pPr>
              <w:spacing w:after="0"/>
            </w:pPr>
            <w:r>
              <w:rPr>
                <w:rFonts w:ascii="Arial" w:hAnsi="Arial" w:cs="Arial"/>
                <w:sz w:val="20"/>
                <w:szCs w:val="20"/>
              </w:rPr>
              <w:t>Leading Organisation</w:t>
            </w:r>
          </w:p>
        </w:tc>
      </w:tr>
    </w:tbl>
    <w:tbl>
      <w:tblPr>
        <w:tblStyle w:val="TableGrid1"/>
        <w:tblpPr w:leftFromText="180" w:rightFromText="180" w:vertAnchor="text" w:horzAnchor="page" w:tblpX="970" w:tblpY="461"/>
        <w:tblW w:w="10598" w:type="dxa"/>
        <w:tblLook w:val="04A0" w:firstRow="1" w:lastRow="0" w:firstColumn="1" w:lastColumn="0" w:noHBand="0" w:noVBand="1"/>
      </w:tblPr>
      <w:tblGrid>
        <w:gridCol w:w="459"/>
        <w:gridCol w:w="2409"/>
        <w:gridCol w:w="3791"/>
        <w:gridCol w:w="3939"/>
      </w:tblGrid>
      <w:tr w:rsidR="00FF16B8" w:rsidRPr="00C91CFA" w:rsidTr="007C78EC">
        <w:trPr>
          <w:trHeight w:val="222"/>
        </w:trPr>
        <w:tc>
          <w:tcPr>
            <w:tcW w:w="459" w:type="dxa"/>
            <w:shd w:val="clear" w:color="auto" w:fill="D9D9D9" w:themeFill="background1" w:themeFillShade="D9"/>
          </w:tcPr>
          <w:p w:rsidR="00E40AC5" w:rsidRPr="00C91CFA" w:rsidRDefault="00E40AC5" w:rsidP="007C78EC">
            <w:pPr>
              <w:spacing w:after="0" w:line="240" w:lineRule="auto"/>
              <w:jc w:val="center"/>
              <w:rPr>
                <w:rFonts w:ascii="Arial" w:hAnsi="Arial" w:cs="Arial"/>
                <w:b/>
                <w:sz w:val="20"/>
                <w:szCs w:val="20"/>
              </w:rPr>
            </w:pPr>
            <w:r>
              <w:rPr>
                <w:rFonts w:ascii="Arial" w:hAnsi="Arial" w:cs="Arial"/>
                <w:b/>
                <w:sz w:val="20"/>
                <w:szCs w:val="20"/>
              </w:rPr>
              <w:t xml:space="preserve"> </w:t>
            </w:r>
          </w:p>
        </w:tc>
        <w:tc>
          <w:tcPr>
            <w:tcW w:w="2409" w:type="dxa"/>
            <w:shd w:val="clear" w:color="auto" w:fill="D9D9D9" w:themeFill="background1" w:themeFillShade="D9"/>
          </w:tcPr>
          <w:p w:rsidR="00E40AC5" w:rsidRPr="00C91CFA" w:rsidRDefault="00E40AC5" w:rsidP="007C78EC">
            <w:pPr>
              <w:spacing w:after="0" w:line="240" w:lineRule="auto"/>
              <w:jc w:val="center"/>
              <w:rPr>
                <w:rFonts w:ascii="Arial" w:hAnsi="Arial" w:cs="Arial"/>
                <w:b/>
                <w:sz w:val="20"/>
                <w:szCs w:val="20"/>
              </w:rPr>
            </w:pPr>
            <w:r w:rsidRPr="00C91CFA">
              <w:rPr>
                <w:rFonts w:ascii="Arial" w:hAnsi="Arial" w:cs="Arial"/>
                <w:b/>
                <w:sz w:val="20"/>
                <w:szCs w:val="20"/>
              </w:rPr>
              <w:t>Knowledge and Qualifications</w:t>
            </w:r>
          </w:p>
        </w:tc>
        <w:tc>
          <w:tcPr>
            <w:tcW w:w="3791" w:type="dxa"/>
            <w:shd w:val="clear" w:color="auto" w:fill="D9D9D9" w:themeFill="background1" w:themeFillShade="D9"/>
          </w:tcPr>
          <w:p w:rsidR="00E40AC5" w:rsidRPr="00C91CFA" w:rsidRDefault="00E40AC5" w:rsidP="007C78EC">
            <w:pPr>
              <w:spacing w:after="0" w:line="240" w:lineRule="auto"/>
              <w:jc w:val="center"/>
              <w:rPr>
                <w:rFonts w:ascii="Arial" w:hAnsi="Arial" w:cs="Arial"/>
                <w:b/>
                <w:sz w:val="20"/>
                <w:szCs w:val="20"/>
              </w:rPr>
            </w:pPr>
            <w:r w:rsidRPr="00C91CFA">
              <w:rPr>
                <w:rFonts w:ascii="Arial" w:hAnsi="Arial" w:cs="Arial"/>
                <w:b/>
                <w:sz w:val="20"/>
                <w:szCs w:val="20"/>
              </w:rPr>
              <w:t>Skills</w:t>
            </w:r>
          </w:p>
        </w:tc>
        <w:tc>
          <w:tcPr>
            <w:tcW w:w="3939" w:type="dxa"/>
            <w:shd w:val="clear" w:color="auto" w:fill="D9D9D9" w:themeFill="background1" w:themeFillShade="D9"/>
          </w:tcPr>
          <w:p w:rsidR="00E40AC5" w:rsidRPr="00C91CFA" w:rsidRDefault="00E40AC5" w:rsidP="007C78EC">
            <w:pPr>
              <w:spacing w:after="0" w:line="240" w:lineRule="auto"/>
              <w:jc w:val="center"/>
              <w:rPr>
                <w:rFonts w:ascii="Arial" w:hAnsi="Arial" w:cs="Arial"/>
                <w:b/>
                <w:sz w:val="20"/>
                <w:szCs w:val="20"/>
              </w:rPr>
            </w:pPr>
            <w:r w:rsidRPr="00C91CFA">
              <w:rPr>
                <w:rFonts w:ascii="Arial" w:hAnsi="Arial" w:cs="Arial"/>
                <w:b/>
                <w:sz w:val="20"/>
                <w:szCs w:val="20"/>
              </w:rPr>
              <w:t>Experience</w:t>
            </w:r>
          </w:p>
        </w:tc>
      </w:tr>
      <w:tr w:rsidR="00FF16B8" w:rsidRPr="00C91CFA" w:rsidTr="007C78EC">
        <w:trPr>
          <w:cantSplit/>
          <w:trHeight w:val="2723"/>
        </w:trPr>
        <w:tc>
          <w:tcPr>
            <w:tcW w:w="459" w:type="dxa"/>
            <w:shd w:val="clear" w:color="auto" w:fill="D9D9D9" w:themeFill="background1" w:themeFillShade="D9"/>
            <w:textDirection w:val="btLr"/>
          </w:tcPr>
          <w:p w:rsidR="00E40AC5" w:rsidRPr="00C91CFA" w:rsidRDefault="00E40AC5" w:rsidP="007C78EC">
            <w:pPr>
              <w:spacing w:after="0" w:line="240" w:lineRule="auto"/>
              <w:ind w:left="113" w:right="113"/>
              <w:jc w:val="center"/>
              <w:rPr>
                <w:rFonts w:ascii="Arial" w:hAnsi="Arial" w:cs="Arial"/>
                <w:b/>
                <w:sz w:val="20"/>
                <w:szCs w:val="20"/>
              </w:rPr>
            </w:pPr>
            <w:r w:rsidRPr="00C91CFA">
              <w:rPr>
                <w:rFonts w:ascii="Arial" w:hAnsi="Arial" w:cs="Arial"/>
                <w:b/>
                <w:sz w:val="20"/>
                <w:szCs w:val="20"/>
              </w:rPr>
              <w:t>Essential</w:t>
            </w:r>
          </w:p>
        </w:tc>
        <w:tc>
          <w:tcPr>
            <w:tcW w:w="2409" w:type="dxa"/>
          </w:tcPr>
          <w:p w:rsidR="00983A0B" w:rsidRPr="001E708A" w:rsidRDefault="00343867"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 xml:space="preserve">Expert </w:t>
            </w:r>
            <w:r w:rsidR="00983A0B" w:rsidRPr="001E708A">
              <w:rPr>
                <w:rFonts w:ascii="Arial" w:eastAsia="Calibri" w:hAnsi="Arial" w:cs="Arial"/>
                <w:sz w:val="20"/>
                <w:szCs w:val="20"/>
              </w:rPr>
              <w:t xml:space="preserve">Knowledge of </w:t>
            </w:r>
            <w:r w:rsidR="008E2FCF" w:rsidRPr="001E708A">
              <w:rPr>
                <w:rFonts w:ascii="Arial" w:eastAsia="Calibri" w:hAnsi="Arial" w:cs="Arial"/>
                <w:sz w:val="20"/>
                <w:szCs w:val="20"/>
              </w:rPr>
              <w:t>General Insurance Pricing</w:t>
            </w:r>
          </w:p>
          <w:p w:rsidR="00343867" w:rsidRPr="001E708A" w:rsidRDefault="008E2FCF"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 xml:space="preserve">Expert </w:t>
            </w:r>
            <w:r w:rsidR="00343867" w:rsidRPr="001E708A">
              <w:rPr>
                <w:rFonts w:ascii="Arial" w:eastAsia="Calibri" w:hAnsi="Arial" w:cs="Arial"/>
                <w:sz w:val="20"/>
                <w:szCs w:val="20"/>
              </w:rPr>
              <w:t xml:space="preserve">Knowledge of </w:t>
            </w:r>
            <w:r w:rsidR="00C955E6" w:rsidRPr="001E708A">
              <w:rPr>
                <w:rFonts w:ascii="Arial" w:eastAsia="Calibri" w:hAnsi="Arial" w:cs="Arial"/>
                <w:sz w:val="20"/>
                <w:szCs w:val="20"/>
              </w:rPr>
              <w:t xml:space="preserve">General </w:t>
            </w:r>
            <w:r w:rsidRPr="001E708A">
              <w:rPr>
                <w:rFonts w:ascii="Arial" w:eastAsia="Calibri" w:hAnsi="Arial" w:cs="Arial"/>
                <w:sz w:val="20"/>
                <w:szCs w:val="20"/>
              </w:rPr>
              <w:t>Insurance Products</w:t>
            </w:r>
          </w:p>
          <w:p w:rsidR="00010AFE"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Educated to degree standard or equivalent</w:t>
            </w:r>
          </w:p>
        </w:tc>
        <w:tc>
          <w:tcPr>
            <w:tcW w:w="3791" w:type="dxa"/>
          </w:tcPr>
          <w:p w:rsidR="00010AFE"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Significant operational leadership abilities</w:t>
            </w:r>
          </w:p>
          <w:p w:rsidR="00343867" w:rsidRPr="001E708A" w:rsidRDefault="00343867"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 xml:space="preserve">Keen analytical, project </w:t>
            </w:r>
            <w:r w:rsidR="0063468B" w:rsidRPr="001E708A">
              <w:rPr>
                <w:rFonts w:ascii="Arial" w:eastAsia="Calibri" w:hAnsi="Arial" w:cs="Arial"/>
                <w:sz w:val="20"/>
                <w:szCs w:val="20"/>
              </w:rPr>
              <w:t>management</w:t>
            </w:r>
            <w:r w:rsidRPr="001E708A">
              <w:rPr>
                <w:rFonts w:ascii="Arial" w:eastAsia="Calibri" w:hAnsi="Arial" w:cs="Arial"/>
                <w:sz w:val="20"/>
                <w:szCs w:val="20"/>
              </w:rPr>
              <w:t xml:space="preserve"> and problem solving skills.</w:t>
            </w:r>
          </w:p>
          <w:p w:rsidR="00343867"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 xml:space="preserve">Pragmatic </w:t>
            </w:r>
            <w:r w:rsidR="00343867" w:rsidRPr="001E708A">
              <w:rPr>
                <w:rFonts w:ascii="Arial" w:eastAsia="Calibri" w:hAnsi="Arial" w:cs="Arial"/>
                <w:sz w:val="20"/>
                <w:szCs w:val="20"/>
              </w:rPr>
              <w:t>business sense</w:t>
            </w:r>
            <w:r w:rsidRPr="001E708A">
              <w:rPr>
                <w:rFonts w:ascii="Arial" w:eastAsia="Calibri" w:hAnsi="Arial" w:cs="Arial"/>
                <w:sz w:val="20"/>
                <w:szCs w:val="20"/>
              </w:rPr>
              <w:t xml:space="preserve"> including understanding of f</w:t>
            </w:r>
            <w:r w:rsidR="00343867" w:rsidRPr="001E708A">
              <w:rPr>
                <w:rFonts w:ascii="Arial" w:eastAsia="Calibri" w:hAnsi="Arial" w:cs="Arial"/>
                <w:sz w:val="20"/>
                <w:szCs w:val="20"/>
              </w:rPr>
              <w:t>inance, accounting, economics.</w:t>
            </w:r>
          </w:p>
          <w:p w:rsidR="00AC2978" w:rsidRPr="008F0D83" w:rsidRDefault="00AC2978" w:rsidP="007C78EC">
            <w:pPr>
              <w:pStyle w:val="ListParagraph"/>
              <w:numPr>
                <w:ilvl w:val="0"/>
                <w:numId w:val="5"/>
              </w:numPr>
              <w:spacing w:after="0"/>
              <w:jc w:val="both"/>
              <w:rPr>
                <w:rFonts w:ascii="Arial" w:eastAsia="Calibri" w:hAnsi="Arial" w:cs="Arial"/>
                <w:sz w:val="20"/>
                <w:szCs w:val="20"/>
              </w:rPr>
            </w:pPr>
            <w:r>
              <w:rPr>
                <w:rFonts w:ascii="Arial" w:hAnsi="Arial" w:cs="Arial"/>
                <w:sz w:val="20"/>
                <w:szCs w:val="20"/>
              </w:rPr>
              <w:t>Strong people leader with exceptional communication skills.</w:t>
            </w:r>
          </w:p>
          <w:p w:rsidR="00AC2978" w:rsidRPr="00D31807" w:rsidRDefault="00AC2978" w:rsidP="007C78EC">
            <w:pPr>
              <w:pStyle w:val="ListParagraph"/>
              <w:numPr>
                <w:ilvl w:val="0"/>
                <w:numId w:val="5"/>
              </w:numPr>
              <w:spacing w:after="0"/>
              <w:jc w:val="both"/>
            </w:pPr>
            <w:r>
              <w:rPr>
                <w:rFonts w:ascii="Arial" w:hAnsi="Arial" w:cs="Arial"/>
                <w:sz w:val="20"/>
                <w:szCs w:val="20"/>
              </w:rPr>
              <w:t xml:space="preserve">Ability to influence at Executive and Board level. </w:t>
            </w:r>
          </w:p>
          <w:p w:rsidR="00343867" w:rsidRPr="00C91CFA" w:rsidRDefault="00343867" w:rsidP="007C78EC">
            <w:pPr>
              <w:pStyle w:val="ListParagraph"/>
              <w:spacing w:after="0"/>
              <w:ind w:left="360"/>
              <w:jc w:val="both"/>
              <w:rPr>
                <w:rFonts w:ascii="Arial" w:eastAsia="Calibri" w:hAnsi="Arial" w:cs="Arial"/>
                <w:b/>
                <w:sz w:val="20"/>
                <w:szCs w:val="20"/>
              </w:rPr>
            </w:pPr>
          </w:p>
        </w:tc>
        <w:tc>
          <w:tcPr>
            <w:tcW w:w="3939" w:type="dxa"/>
          </w:tcPr>
          <w:p w:rsidR="00E40AC5" w:rsidRPr="001E708A" w:rsidRDefault="00983A0B"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 xml:space="preserve">Delivering </w:t>
            </w:r>
            <w:r w:rsidR="008E2FCF" w:rsidRPr="001E708A">
              <w:rPr>
                <w:rFonts w:ascii="Arial" w:eastAsia="Calibri" w:hAnsi="Arial" w:cs="Arial"/>
                <w:sz w:val="20"/>
                <w:szCs w:val="20"/>
              </w:rPr>
              <w:t>pricing reviews</w:t>
            </w:r>
            <w:r w:rsidRPr="001E708A">
              <w:rPr>
                <w:rFonts w:ascii="Arial" w:eastAsia="Calibri" w:hAnsi="Arial" w:cs="Arial"/>
                <w:sz w:val="20"/>
                <w:szCs w:val="20"/>
              </w:rPr>
              <w:t xml:space="preserve"> for significant lines of </w:t>
            </w:r>
            <w:r w:rsidR="008E2FCF" w:rsidRPr="001E708A">
              <w:rPr>
                <w:rFonts w:ascii="Arial" w:eastAsia="Calibri" w:hAnsi="Arial" w:cs="Arial"/>
                <w:sz w:val="20"/>
                <w:szCs w:val="20"/>
              </w:rPr>
              <w:t xml:space="preserve">general insurance </w:t>
            </w:r>
            <w:r w:rsidRPr="001E708A">
              <w:rPr>
                <w:rFonts w:ascii="Arial" w:eastAsia="Calibri" w:hAnsi="Arial" w:cs="Arial"/>
                <w:sz w:val="20"/>
                <w:szCs w:val="20"/>
              </w:rPr>
              <w:t>business</w:t>
            </w:r>
          </w:p>
          <w:p w:rsidR="00343867" w:rsidRPr="001E708A" w:rsidRDefault="00343867"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Experience in managing a team</w:t>
            </w:r>
          </w:p>
          <w:p w:rsidR="008E2FCF" w:rsidRPr="001E708A" w:rsidRDefault="008E2FCF"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Experience of operating products in a regulated environment</w:t>
            </w:r>
          </w:p>
          <w:p w:rsidR="008E2FCF" w:rsidRPr="001E708A" w:rsidRDefault="008E2FCF" w:rsidP="007C78EC">
            <w:pPr>
              <w:pStyle w:val="ListParagraph"/>
              <w:spacing w:after="0"/>
              <w:jc w:val="both"/>
              <w:rPr>
                <w:rFonts w:ascii="Arial" w:eastAsia="Calibri" w:hAnsi="Arial" w:cs="Arial"/>
                <w:sz w:val="20"/>
                <w:szCs w:val="20"/>
              </w:rPr>
            </w:pPr>
          </w:p>
        </w:tc>
      </w:tr>
      <w:tr w:rsidR="00FF16B8" w:rsidRPr="00C91CFA" w:rsidTr="007C78EC">
        <w:trPr>
          <w:cantSplit/>
          <w:trHeight w:val="1691"/>
        </w:trPr>
        <w:tc>
          <w:tcPr>
            <w:tcW w:w="459" w:type="dxa"/>
            <w:shd w:val="clear" w:color="auto" w:fill="D9D9D9" w:themeFill="background1" w:themeFillShade="D9"/>
            <w:textDirection w:val="btLr"/>
          </w:tcPr>
          <w:p w:rsidR="00E40AC5" w:rsidRPr="00C91CFA" w:rsidRDefault="00E40AC5" w:rsidP="007C78EC">
            <w:pPr>
              <w:spacing w:after="0" w:line="240" w:lineRule="auto"/>
              <w:ind w:left="113" w:right="113"/>
              <w:jc w:val="center"/>
              <w:rPr>
                <w:rFonts w:ascii="Arial" w:hAnsi="Arial" w:cs="Arial"/>
                <w:b/>
                <w:sz w:val="20"/>
                <w:szCs w:val="20"/>
              </w:rPr>
            </w:pPr>
            <w:r w:rsidRPr="00C91CFA">
              <w:rPr>
                <w:rFonts w:ascii="Arial" w:hAnsi="Arial" w:cs="Arial"/>
                <w:b/>
                <w:sz w:val="20"/>
                <w:szCs w:val="20"/>
              </w:rPr>
              <w:t>Desirable</w:t>
            </w:r>
          </w:p>
        </w:tc>
        <w:tc>
          <w:tcPr>
            <w:tcW w:w="2409" w:type="dxa"/>
          </w:tcPr>
          <w:p w:rsidR="00343867" w:rsidRPr="001E708A" w:rsidRDefault="00C955E6"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Knowledge of clinical negligence indemnity</w:t>
            </w:r>
          </w:p>
          <w:p w:rsidR="00010AFE"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Global emerging healthcare and market trends</w:t>
            </w:r>
          </w:p>
          <w:p w:rsidR="00010AFE"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Fellow of the Institute of Actuaries or strong CII qualifications</w:t>
            </w:r>
          </w:p>
          <w:p w:rsidR="00010AFE" w:rsidRPr="001E708A" w:rsidRDefault="00010AFE" w:rsidP="007C78EC">
            <w:pPr>
              <w:pStyle w:val="ListParagraph"/>
              <w:spacing w:after="0"/>
              <w:jc w:val="both"/>
              <w:rPr>
                <w:rFonts w:ascii="Arial" w:eastAsia="Calibri" w:hAnsi="Arial" w:cs="Arial"/>
                <w:sz w:val="20"/>
                <w:szCs w:val="20"/>
              </w:rPr>
            </w:pPr>
          </w:p>
        </w:tc>
        <w:tc>
          <w:tcPr>
            <w:tcW w:w="3791" w:type="dxa"/>
          </w:tcPr>
          <w:p w:rsidR="00E40AC5" w:rsidRPr="00C91CFA" w:rsidRDefault="00E40AC5" w:rsidP="007C78EC">
            <w:pPr>
              <w:pStyle w:val="ListParagraph"/>
              <w:spacing w:after="0"/>
              <w:jc w:val="both"/>
              <w:rPr>
                <w:rFonts w:ascii="Arial" w:eastAsia="Calibri" w:hAnsi="Arial" w:cs="Arial"/>
                <w:b/>
                <w:sz w:val="20"/>
                <w:szCs w:val="20"/>
              </w:rPr>
            </w:pPr>
          </w:p>
        </w:tc>
        <w:tc>
          <w:tcPr>
            <w:tcW w:w="3939" w:type="dxa"/>
          </w:tcPr>
          <w:p w:rsidR="008E2FCF" w:rsidRPr="001E708A" w:rsidRDefault="008E2FCF"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Experience in price optimisation</w:t>
            </w:r>
          </w:p>
          <w:p w:rsidR="008E2FCF" w:rsidRPr="001E708A" w:rsidRDefault="008E2FCF"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Experience in pricing software</w:t>
            </w:r>
          </w:p>
          <w:p w:rsidR="008E2FCF" w:rsidRPr="001E708A" w:rsidRDefault="008E2FCF"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Experience of working in a Lloyd’s environment</w:t>
            </w:r>
          </w:p>
          <w:p w:rsidR="00010AFE" w:rsidRPr="001E708A" w:rsidRDefault="00010AFE" w:rsidP="007C78EC">
            <w:pPr>
              <w:pStyle w:val="ListParagraph"/>
              <w:numPr>
                <w:ilvl w:val="0"/>
                <w:numId w:val="5"/>
              </w:numPr>
              <w:spacing w:after="0"/>
              <w:jc w:val="both"/>
              <w:rPr>
                <w:rFonts w:ascii="Arial" w:eastAsia="Calibri" w:hAnsi="Arial" w:cs="Arial"/>
                <w:sz w:val="20"/>
                <w:szCs w:val="20"/>
              </w:rPr>
            </w:pPr>
            <w:r w:rsidRPr="001E708A">
              <w:rPr>
                <w:rFonts w:ascii="Arial" w:eastAsia="Calibri" w:hAnsi="Arial" w:cs="Arial"/>
                <w:sz w:val="20"/>
                <w:szCs w:val="20"/>
              </w:rPr>
              <w:t>Building Generalised Linear Models</w:t>
            </w:r>
          </w:p>
          <w:p w:rsidR="00010AFE" w:rsidRPr="001E708A" w:rsidRDefault="00010AFE" w:rsidP="007C78EC">
            <w:pPr>
              <w:pStyle w:val="ListParagraph"/>
              <w:spacing w:after="0"/>
              <w:jc w:val="both"/>
              <w:rPr>
                <w:rFonts w:ascii="Arial" w:eastAsia="Calibri" w:hAnsi="Arial" w:cs="Arial"/>
                <w:sz w:val="20"/>
                <w:szCs w:val="20"/>
              </w:rPr>
            </w:pPr>
          </w:p>
          <w:p w:rsidR="008E2FCF" w:rsidRPr="001E708A" w:rsidRDefault="008E2FCF" w:rsidP="007C78EC">
            <w:pPr>
              <w:pStyle w:val="ListParagraph"/>
              <w:spacing w:after="0"/>
              <w:jc w:val="both"/>
              <w:rPr>
                <w:rFonts w:ascii="Arial" w:eastAsia="Calibri" w:hAnsi="Arial" w:cs="Arial"/>
                <w:sz w:val="20"/>
                <w:szCs w:val="20"/>
              </w:rPr>
            </w:pPr>
          </w:p>
        </w:tc>
      </w:tr>
    </w:tbl>
    <w:p w:rsidR="0056188D" w:rsidRDefault="0056188D"/>
    <w:sectPr w:rsidR="0056188D" w:rsidSect="009E22D0">
      <w:headerReference w:type="default" r:id="rId10"/>
      <w:foot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E1" w:rsidRDefault="00ED12E1" w:rsidP="009E22D0">
      <w:pPr>
        <w:spacing w:after="0" w:line="240" w:lineRule="auto"/>
      </w:pPr>
      <w:r>
        <w:separator/>
      </w:r>
    </w:p>
  </w:endnote>
  <w:endnote w:type="continuationSeparator" w:id="0">
    <w:p w:rsidR="00ED12E1" w:rsidRDefault="00ED12E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48158"/>
      <w:docPartObj>
        <w:docPartGallery w:val="Page Numbers (Bottom of Page)"/>
        <w:docPartUnique/>
      </w:docPartObj>
    </w:sdtPr>
    <w:sdtEndPr>
      <w:rPr>
        <w:noProof/>
        <w:sz w:val="16"/>
        <w:szCs w:val="16"/>
      </w:rPr>
    </w:sdtEndPr>
    <w:sdtContent>
      <w:p w:rsidR="00EE5068" w:rsidRPr="00AD458B" w:rsidRDefault="00EE5068" w:rsidP="00EE5068">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June 2019</w:t>
        </w:r>
      </w:p>
      <w:p w:rsidR="00EE5068" w:rsidRPr="00AD458B" w:rsidRDefault="00EE5068" w:rsidP="00EE5068">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rsidR="00EE5068" w:rsidRPr="00787C2D" w:rsidRDefault="00EE5068" w:rsidP="00EE5068">
        <w:pPr>
          <w:pStyle w:val="Footer"/>
          <w:rPr>
            <w:sz w:val="16"/>
            <w:szCs w:val="16"/>
          </w:rPr>
        </w:pPr>
        <w:r w:rsidRPr="00AD458B">
          <w:rPr>
            <w:rFonts w:ascii="Arial" w:eastAsiaTheme="minorHAnsi" w:hAnsi="Arial" w:cs="Arial"/>
            <w:sz w:val="16"/>
            <w:lang w:eastAsia="en-US"/>
          </w:rPr>
          <w:t>Date o</w:t>
        </w:r>
        <w:r>
          <w:rPr>
            <w:rFonts w:ascii="Arial" w:eastAsiaTheme="minorHAnsi" w:hAnsi="Arial" w:cs="Arial"/>
            <w:sz w:val="16"/>
            <w:lang w:eastAsia="en-US"/>
          </w:rPr>
          <w:t>f next review:      June 2020</w:t>
        </w:r>
      </w:p>
    </w:sdtContent>
  </w:sdt>
  <w:p w:rsidR="007C78EC" w:rsidRDefault="007C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E1" w:rsidRDefault="00ED12E1" w:rsidP="009E22D0">
      <w:pPr>
        <w:spacing w:after="0" w:line="240" w:lineRule="auto"/>
      </w:pPr>
      <w:r>
        <w:separator/>
      </w:r>
    </w:p>
  </w:footnote>
  <w:footnote w:type="continuationSeparator" w:id="0">
    <w:p w:rsidR="00ED12E1" w:rsidRDefault="00ED12E1"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1" w:rsidRPr="000E4361" w:rsidRDefault="00ED12E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861"/>
    <w:multiLevelType w:val="hybridMultilevel"/>
    <w:tmpl w:val="66C4E5AC"/>
    <w:lvl w:ilvl="0" w:tplc="F4E0E80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7A420DC"/>
    <w:multiLevelType w:val="hybridMultilevel"/>
    <w:tmpl w:val="A42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80BF1"/>
    <w:multiLevelType w:val="hybridMultilevel"/>
    <w:tmpl w:val="ABE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97EDB"/>
    <w:multiLevelType w:val="hybridMultilevel"/>
    <w:tmpl w:val="C2EC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680DA1"/>
    <w:multiLevelType w:val="hybridMultilevel"/>
    <w:tmpl w:val="2684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C0E92"/>
    <w:multiLevelType w:val="hybridMultilevel"/>
    <w:tmpl w:val="6828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3A6BF3"/>
    <w:multiLevelType w:val="hybridMultilevel"/>
    <w:tmpl w:val="2A347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205C39"/>
    <w:multiLevelType w:val="hybridMultilevel"/>
    <w:tmpl w:val="1E3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6506B"/>
    <w:multiLevelType w:val="hybridMultilevel"/>
    <w:tmpl w:val="AAA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C16ED"/>
    <w:multiLevelType w:val="hybridMultilevel"/>
    <w:tmpl w:val="28629A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C3BBA"/>
    <w:multiLevelType w:val="hybridMultilevel"/>
    <w:tmpl w:val="17101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804C7"/>
    <w:multiLevelType w:val="hybridMultilevel"/>
    <w:tmpl w:val="0072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17802"/>
    <w:multiLevelType w:val="hybridMultilevel"/>
    <w:tmpl w:val="8DD6F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3B5B60"/>
    <w:multiLevelType w:val="hybridMultilevel"/>
    <w:tmpl w:val="5F547B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9027AF"/>
    <w:multiLevelType w:val="hybridMultilevel"/>
    <w:tmpl w:val="7E92043E"/>
    <w:lvl w:ilvl="0" w:tplc="8D70A2A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D5974"/>
    <w:multiLevelType w:val="multilevel"/>
    <w:tmpl w:val="204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969D8"/>
    <w:multiLevelType w:val="hybridMultilevel"/>
    <w:tmpl w:val="B7F4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859D9"/>
    <w:multiLevelType w:val="hybridMultilevel"/>
    <w:tmpl w:val="256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C26E9"/>
    <w:multiLevelType w:val="hybridMultilevel"/>
    <w:tmpl w:val="077A1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A784D"/>
    <w:multiLevelType w:val="hybridMultilevel"/>
    <w:tmpl w:val="C612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11"/>
  </w:num>
  <w:num w:numId="5">
    <w:abstractNumId w:val="17"/>
  </w:num>
  <w:num w:numId="6">
    <w:abstractNumId w:val="5"/>
  </w:num>
  <w:num w:numId="7">
    <w:abstractNumId w:val="21"/>
  </w:num>
  <w:num w:numId="8">
    <w:abstractNumId w:val="28"/>
  </w:num>
  <w:num w:numId="9">
    <w:abstractNumId w:val="30"/>
  </w:num>
  <w:num w:numId="10">
    <w:abstractNumId w:val="24"/>
  </w:num>
  <w:num w:numId="11">
    <w:abstractNumId w:val="8"/>
  </w:num>
  <w:num w:numId="12">
    <w:abstractNumId w:val="23"/>
  </w:num>
  <w:num w:numId="13">
    <w:abstractNumId w:val="2"/>
  </w:num>
  <w:num w:numId="14">
    <w:abstractNumId w:val="6"/>
  </w:num>
  <w:num w:numId="15">
    <w:abstractNumId w:val="7"/>
  </w:num>
  <w:num w:numId="16">
    <w:abstractNumId w:val="14"/>
  </w:num>
  <w:num w:numId="17">
    <w:abstractNumId w:val="29"/>
  </w:num>
  <w:num w:numId="18">
    <w:abstractNumId w:val="16"/>
  </w:num>
  <w:num w:numId="19">
    <w:abstractNumId w:val="3"/>
  </w:num>
  <w:num w:numId="20">
    <w:abstractNumId w:val="12"/>
  </w:num>
  <w:num w:numId="21">
    <w:abstractNumId w:val="27"/>
  </w:num>
  <w:num w:numId="22">
    <w:abstractNumId w:val="4"/>
  </w:num>
  <w:num w:numId="23">
    <w:abstractNumId w:val="9"/>
  </w:num>
  <w:num w:numId="24">
    <w:abstractNumId w:val="22"/>
  </w:num>
  <w:num w:numId="25">
    <w:abstractNumId w:val="19"/>
  </w:num>
  <w:num w:numId="26">
    <w:abstractNumId w:val="13"/>
  </w:num>
  <w:num w:numId="27">
    <w:abstractNumId w:val="10"/>
  </w:num>
  <w:num w:numId="28">
    <w:abstractNumId w:val="26"/>
  </w:num>
  <w:num w:numId="29">
    <w:abstractNumId w:val="25"/>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10AFE"/>
    <w:rsid w:val="000208C5"/>
    <w:rsid w:val="00082F60"/>
    <w:rsid w:val="000E4361"/>
    <w:rsid w:val="001618E2"/>
    <w:rsid w:val="001C0C15"/>
    <w:rsid w:val="001D2190"/>
    <w:rsid w:val="001D433C"/>
    <w:rsid w:val="001E708A"/>
    <w:rsid w:val="00261981"/>
    <w:rsid w:val="00263570"/>
    <w:rsid w:val="00294B36"/>
    <w:rsid w:val="002B557F"/>
    <w:rsid w:val="002B5C5F"/>
    <w:rsid w:val="002F72E8"/>
    <w:rsid w:val="00343867"/>
    <w:rsid w:val="003B62C1"/>
    <w:rsid w:val="003D41B8"/>
    <w:rsid w:val="004D18E8"/>
    <w:rsid w:val="004F7FE7"/>
    <w:rsid w:val="00516C05"/>
    <w:rsid w:val="00527E8B"/>
    <w:rsid w:val="00533ADD"/>
    <w:rsid w:val="0056188D"/>
    <w:rsid w:val="005E000B"/>
    <w:rsid w:val="0063468B"/>
    <w:rsid w:val="00646C88"/>
    <w:rsid w:val="00666A86"/>
    <w:rsid w:val="00666EB3"/>
    <w:rsid w:val="006B74BD"/>
    <w:rsid w:val="007159D6"/>
    <w:rsid w:val="00717094"/>
    <w:rsid w:val="00773842"/>
    <w:rsid w:val="007B4E3C"/>
    <w:rsid w:val="007C78EC"/>
    <w:rsid w:val="007D17D1"/>
    <w:rsid w:val="007D52BE"/>
    <w:rsid w:val="007E7CA1"/>
    <w:rsid w:val="00813AEB"/>
    <w:rsid w:val="008E2FCF"/>
    <w:rsid w:val="009102F0"/>
    <w:rsid w:val="00936ADA"/>
    <w:rsid w:val="00983A0B"/>
    <w:rsid w:val="009E22D0"/>
    <w:rsid w:val="00A24F5C"/>
    <w:rsid w:val="00A328BD"/>
    <w:rsid w:val="00A34827"/>
    <w:rsid w:val="00A4414A"/>
    <w:rsid w:val="00A51AAF"/>
    <w:rsid w:val="00A97D36"/>
    <w:rsid w:val="00AA6F93"/>
    <w:rsid w:val="00AC2978"/>
    <w:rsid w:val="00B45D2B"/>
    <w:rsid w:val="00C91CFA"/>
    <w:rsid w:val="00C955E6"/>
    <w:rsid w:val="00CD2F6F"/>
    <w:rsid w:val="00DD2DBA"/>
    <w:rsid w:val="00E17B28"/>
    <w:rsid w:val="00E40AC5"/>
    <w:rsid w:val="00EC0620"/>
    <w:rsid w:val="00EC4481"/>
    <w:rsid w:val="00ED12E1"/>
    <w:rsid w:val="00EE5068"/>
    <w:rsid w:val="00F12CF8"/>
    <w:rsid w:val="00F5319A"/>
    <w:rsid w:val="00F93094"/>
    <w:rsid w:val="00FB4711"/>
    <w:rsid w:val="00FD07D5"/>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6782">
      <w:bodyDiv w:val="1"/>
      <w:marLeft w:val="0"/>
      <w:marRight w:val="0"/>
      <w:marTop w:val="0"/>
      <w:marBottom w:val="0"/>
      <w:divBdr>
        <w:top w:val="none" w:sz="0" w:space="0" w:color="auto"/>
        <w:left w:val="none" w:sz="0" w:space="0" w:color="auto"/>
        <w:bottom w:val="none" w:sz="0" w:space="0" w:color="auto"/>
        <w:right w:val="none" w:sz="0" w:space="0" w:color="auto"/>
      </w:divBdr>
    </w:div>
    <w:div w:id="1033727723">
      <w:bodyDiv w:val="1"/>
      <w:marLeft w:val="0"/>
      <w:marRight w:val="0"/>
      <w:marTop w:val="0"/>
      <w:marBottom w:val="0"/>
      <w:divBdr>
        <w:top w:val="none" w:sz="0" w:space="0" w:color="auto"/>
        <w:left w:val="none" w:sz="0" w:space="0" w:color="auto"/>
        <w:bottom w:val="none" w:sz="0" w:space="0" w:color="auto"/>
        <w:right w:val="none" w:sz="0" w:space="0" w:color="auto"/>
      </w:divBdr>
      <w:divsChild>
        <w:div w:id="1283809752">
          <w:marLeft w:val="0"/>
          <w:marRight w:val="0"/>
          <w:marTop w:val="0"/>
          <w:marBottom w:val="0"/>
          <w:divBdr>
            <w:top w:val="none" w:sz="0" w:space="0" w:color="auto"/>
            <w:left w:val="none" w:sz="0" w:space="0" w:color="auto"/>
            <w:bottom w:val="none" w:sz="0" w:space="0" w:color="auto"/>
            <w:right w:val="none" w:sz="0" w:space="0" w:color="auto"/>
          </w:divBdr>
          <w:divsChild>
            <w:div w:id="782991241">
              <w:marLeft w:val="0"/>
              <w:marRight w:val="0"/>
              <w:marTop w:val="0"/>
              <w:marBottom w:val="0"/>
              <w:divBdr>
                <w:top w:val="none" w:sz="0" w:space="0" w:color="auto"/>
                <w:left w:val="none" w:sz="0" w:space="0" w:color="auto"/>
                <w:bottom w:val="none" w:sz="0" w:space="0" w:color="auto"/>
                <w:right w:val="none" w:sz="0" w:space="0" w:color="auto"/>
              </w:divBdr>
              <w:divsChild>
                <w:div w:id="1044326701">
                  <w:marLeft w:val="0"/>
                  <w:marRight w:val="0"/>
                  <w:marTop w:val="0"/>
                  <w:marBottom w:val="0"/>
                  <w:divBdr>
                    <w:top w:val="none" w:sz="0" w:space="0" w:color="auto"/>
                    <w:left w:val="none" w:sz="0" w:space="0" w:color="auto"/>
                    <w:bottom w:val="none" w:sz="0" w:space="0" w:color="auto"/>
                    <w:right w:val="none" w:sz="0" w:space="0" w:color="auto"/>
                  </w:divBdr>
                  <w:divsChild>
                    <w:div w:id="1013066159">
                      <w:marLeft w:val="0"/>
                      <w:marRight w:val="0"/>
                      <w:marTop w:val="0"/>
                      <w:marBottom w:val="0"/>
                      <w:divBdr>
                        <w:top w:val="none" w:sz="0" w:space="0" w:color="auto"/>
                        <w:left w:val="none" w:sz="0" w:space="0" w:color="auto"/>
                        <w:bottom w:val="none" w:sz="0" w:space="0" w:color="auto"/>
                        <w:right w:val="none" w:sz="0" w:space="0" w:color="auto"/>
                      </w:divBdr>
                      <w:divsChild>
                        <w:div w:id="939293863">
                          <w:marLeft w:val="0"/>
                          <w:marRight w:val="0"/>
                          <w:marTop w:val="0"/>
                          <w:marBottom w:val="0"/>
                          <w:divBdr>
                            <w:top w:val="none" w:sz="0" w:space="0" w:color="auto"/>
                            <w:left w:val="none" w:sz="0" w:space="0" w:color="auto"/>
                            <w:bottom w:val="none" w:sz="0" w:space="0" w:color="auto"/>
                            <w:right w:val="none" w:sz="0" w:space="0" w:color="auto"/>
                          </w:divBdr>
                          <w:divsChild>
                            <w:div w:id="573126247">
                              <w:marLeft w:val="0"/>
                              <w:marRight w:val="0"/>
                              <w:marTop w:val="0"/>
                              <w:marBottom w:val="0"/>
                              <w:divBdr>
                                <w:top w:val="none" w:sz="0" w:space="0" w:color="auto"/>
                                <w:left w:val="none" w:sz="0" w:space="0" w:color="auto"/>
                                <w:bottom w:val="none" w:sz="0" w:space="0" w:color="auto"/>
                                <w:right w:val="none" w:sz="0" w:space="0" w:color="auto"/>
                              </w:divBdr>
                              <w:divsChild>
                                <w:div w:id="1424959558">
                                  <w:marLeft w:val="0"/>
                                  <w:marRight w:val="0"/>
                                  <w:marTop w:val="0"/>
                                  <w:marBottom w:val="0"/>
                                  <w:divBdr>
                                    <w:top w:val="none" w:sz="0" w:space="0" w:color="auto"/>
                                    <w:left w:val="none" w:sz="0" w:space="0" w:color="auto"/>
                                    <w:bottom w:val="none" w:sz="0" w:space="0" w:color="auto"/>
                                    <w:right w:val="none" w:sz="0" w:space="0" w:color="auto"/>
                                  </w:divBdr>
                                  <w:divsChild>
                                    <w:div w:id="1390495084">
                                      <w:marLeft w:val="0"/>
                                      <w:marRight w:val="0"/>
                                      <w:marTop w:val="0"/>
                                      <w:marBottom w:val="0"/>
                                      <w:divBdr>
                                        <w:top w:val="none" w:sz="0" w:space="0" w:color="auto"/>
                                        <w:left w:val="none" w:sz="0" w:space="0" w:color="auto"/>
                                        <w:bottom w:val="none" w:sz="0" w:space="0" w:color="auto"/>
                                        <w:right w:val="none" w:sz="0" w:space="0" w:color="auto"/>
                                      </w:divBdr>
                                      <w:divsChild>
                                        <w:div w:id="15459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034805">
      <w:bodyDiv w:val="1"/>
      <w:marLeft w:val="0"/>
      <w:marRight w:val="0"/>
      <w:marTop w:val="0"/>
      <w:marBottom w:val="0"/>
      <w:divBdr>
        <w:top w:val="none" w:sz="0" w:space="0" w:color="auto"/>
        <w:left w:val="none" w:sz="0" w:space="0" w:color="auto"/>
        <w:bottom w:val="none" w:sz="0" w:space="0" w:color="auto"/>
        <w:right w:val="none" w:sz="0" w:space="0" w:color="auto"/>
      </w:divBdr>
    </w:div>
    <w:div w:id="20670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63CF-E0B6-4FEE-91C9-8C45EFABBB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3E98AF-1DEE-4CC3-8A40-CB322577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Curson, Emma</cp:lastModifiedBy>
  <cp:revision>2</cp:revision>
  <dcterms:created xsi:type="dcterms:W3CDTF">2019-07-11T10:21:00Z</dcterms:created>
  <dcterms:modified xsi:type="dcterms:W3CDTF">2019-07-11T10:21:00Z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e3029e1c-9fc3-41e3-ad47-86e28775e2ec</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