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tblInd w:w="-743" w:type="dxa"/>
        <w:tblLook w:val="04A0" w:firstRow="1" w:lastRow="0" w:firstColumn="1" w:lastColumn="0" w:noHBand="0" w:noVBand="1"/>
      </w:tblPr>
      <w:tblGrid>
        <w:gridCol w:w="2127"/>
        <w:gridCol w:w="2835"/>
        <w:gridCol w:w="1985"/>
        <w:gridCol w:w="3289"/>
      </w:tblGrid>
      <w:tr w:rsidR="00F04D6E" w:rsidRPr="00EB6546" w14:paraId="4A5B869A" w14:textId="77777777" w:rsidTr="0AFA2408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3AAB9446" w14:textId="77777777" w:rsidR="00F04D6E" w:rsidRPr="00EB6546" w:rsidRDefault="00F04D6E" w:rsidP="00F04D6E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B6546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2835" w:type="dxa"/>
          </w:tcPr>
          <w:p w14:paraId="636401A4" w14:textId="7DA8D8BD" w:rsidR="00F04D6E" w:rsidRPr="00EB6546" w:rsidRDefault="00CC13CE" w:rsidP="00F04D6E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13CE">
              <w:rPr>
                <w:rFonts w:ascii="Arial" w:hAnsi="Arial" w:cs="Arial"/>
                <w:sz w:val="20"/>
                <w:szCs w:val="20"/>
              </w:rPr>
              <w:t>Cloud &amp; Infrastructure Domain Architect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E9FE3F9" w14:textId="77777777" w:rsidR="00F04D6E" w:rsidRPr="00EB6546" w:rsidRDefault="00F04D6E" w:rsidP="00F04D6E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B6546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89" w:type="dxa"/>
          </w:tcPr>
          <w:p w14:paraId="340FDF95" w14:textId="6427AA66" w:rsidR="00F04D6E" w:rsidRPr="00EB6546" w:rsidRDefault="002D306F" w:rsidP="00F04D6E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 Solution Architect</w:t>
            </w:r>
          </w:p>
        </w:tc>
      </w:tr>
      <w:tr w:rsidR="00F04D6E" w:rsidRPr="00EB6546" w14:paraId="30E4241D" w14:textId="77777777" w:rsidTr="0AFA2408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34479CD6" w14:textId="77777777" w:rsidR="00F04D6E" w:rsidRPr="00EB6546" w:rsidRDefault="00F04D6E" w:rsidP="00F04D6E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B6546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2835" w:type="dxa"/>
          </w:tcPr>
          <w:p w14:paraId="3A587DE2" w14:textId="60C0F8BF" w:rsidR="00F04D6E" w:rsidRPr="00EB6546" w:rsidRDefault="7E17C494" w:rsidP="00F04D6E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4BFB599E">
              <w:rPr>
                <w:rFonts w:ascii="Arial" w:hAnsi="Arial" w:cs="Arial"/>
                <w:sz w:val="20"/>
                <w:szCs w:val="20"/>
              </w:rPr>
              <w:t>Technology</w:t>
            </w:r>
            <w:r w:rsidR="00216E45" w:rsidRPr="4BFB599E">
              <w:rPr>
                <w:rFonts w:ascii="Arial" w:hAnsi="Arial" w:cs="Arial"/>
                <w:sz w:val="20"/>
                <w:szCs w:val="20"/>
              </w:rPr>
              <w:t>, Digital and Data (TDD)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FE20D28" w14:textId="77777777" w:rsidR="00F04D6E" w:rsidRPr="00EB6546" w:rsidRDefault="00F04D6E" w:rsidP="00F04D6E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B6546">
              <w:rPr>
                <w:rFonts w:ascii="Arial" w:hAnsi="Arial" w:cs="Arial"/>
                <w:b/>
                <w:sz w:val="20"/>
                <w:szCs w:val="20"/>
              </w:rPr>
              <w:t>Department:</w:t>
            </w:r>
          </w:p>
        </w:tc>
        <w:tc>
          <w:tcPr>
            <w:tcW w:w="3289" w:type="dxa"/>
          </w:tcPr>
          <w:p w14:paraId="570D9C2B" w14:textId="1D659636" w:rsidR="00F04D6E" w:rsidRPr="00EB6546" w:rsidRDefault="23DAFB57" w:rsidP="0AFA2408">
            <w:pPr>
              <w:pStyle w:val="Header"/>
              <w:spacing w:after="0"/>
              <w:jc w:val="both"/>
            </w:pPr>
            <w:r w:rsidRPr="0AFA2408">
              <w:rPr>
                <w:rFonts w:ascii="Arial" w:hAnsi="Arial" w:cs="Arial"/>
                <w:sz w:val="20"/>
                <w:szCs w:val="20"/>
              </w:rPr>
              <w:t>Engineering &amp; Architecture</w:t>
            </w:r>
          </w:p>
        </w:tc>
      </w:tr>
      <w:tr w:rsidR="00F04D6E" w:rsidRPr="00EB6546" w14:paraId="64ED6894" w14:textId="77777777" w:rsidTr="0AFA2408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3B4A3285" w14:textId="77777777" w:rsidR="00F04D6E" w:rsidRPr="00EB6546" w:rsidRDefault="00F04D6E" w:rsidP="00F04D6E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EB6546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2835" w:type="dxa"/>
            <w:vMerge w:val="restart"/>
          </w:tcPr>
          <w:p w14:paraId="2880E4D2" w14:textId="77777777" w:rsidR="00F04D6E" w:rsidRPr="00EB6546" w:rsidRDefault="00F04D6E" w:rsidP="00F04D6E">
            <w:pPr>
              <w:pStyle w:val="Header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B6546">
              <w:rPr>
                <w:rFonts w:ascii="Arial" w:hAnsi="Arial" w:cs="Arial"/>
                <w:sz w:val="20"/>
                <w:szCs w:val="20"/>
              </w:rPr>
              <w:t>No Direct reports</w:t>
            </w:r>
          </w:p>
          <w:p w14:paraId="73D71138" w14:textId="77777777" w:rsidR="00F04D6E" w:rsidRPr="00EB6546" w:rsidRDefault="00F04D6E" w:rsidP="00F04D6E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1CBC95BF" w14:textId="77777777" w:rsidR="00F04D6E" w:rsidRPr="00EB6546" w:rsidRDefault="00F04D6E" w:rsidP="00F04D6E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B6546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89" w:type="dxa"/>
          </w:tcPr>
          <w:p w14:paraId="4BEA08B5" w14:textId="77777777" w:rsidR="00F04D6E" w:rsidRPr="009618C0" w:rsidRDefault="00F04D6E" w:rsidP="00F04D6E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8C0">
              <w:rPr>
                <w:rFonts w:ascii="Arial" w:hAnsi="Arial" w:cs="Arial"/>
                <w:sz w:val="20"/>
                <w:szCs w:val="20"/>
              </w:rPr>
              <w:t>Architecture</w:t>
            </w:r>
            <w:r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Pr="009618C0">
              <w:rPr>
                <w:rFonts w:ascii="Arial" w:hAnsi="Arial" w:cs="Arial"/>
                <w:sz w:val="20"/>
                <w:szCs w:val="20"/>
              </w:rPr>
              <w:t xml:space="preserve"> Design</w:t>
            </w:r>
          </w:p>
          <w:p w14:paraId="7A062D70" w14:textId="77777777" w:rsidR="00F04D6E" w:rsidRPr="00EB6546" w:rsidRDefault="00F04D6E" w:rsidP="00F04D6E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D6E" w:rsidRPr="00EB6546" w14:paraId="718322F6" w14:textId="77777777" w:rsidTr="0AFA2408">
        <w:trPr>
          <w:trHeight w:val="350"/>
        </w:trPr>
        <w:tc>
          <w:tcPr>
            <w:tcW w:w="2127" w:type="dxa"/>
          </w:tcPr>
          <w:p w14:paraId="02D1E2DE" w14:textId="77777777" w:rsidR="00F04D6E" w:rsidRPr="00EB6546" w:rsidRDefault="00F04D6E" w:rsidP="00F04D6E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8F8FDBE" w14:textId="77777777" w:rsidR="00F04D6E" w:rsidRPr="00EB6546" w:rsidRDefault="00F04D6E" w:rsidP="00F04D6E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132B4A7B" w14:textId="77777777" w:rsidR="00F04D6E" w:rsidRPr="00EB6546" w:rsidRDefault="00F04D6E" w:rsidP="00F04D6E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B6546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89" w:type="dxa"/>
          </w:tcPr>
          <w:p w14:paraId="6C5CDEE5" w14:textId="7F833C3B" w:rsidR="00F04D6E" w:rsidRPr="009618C0" w:rsidRDefault="00452BF0" w:rsidP="00F04D6E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3DBF2885" w14:textId="77777777" w:rsidR="00F04D6E" w:rsidRPr="00EB6546" w:rsidRDefault="00F04D6E" w:rsidP="00F04D6E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D6E" w:rsidRPr="00EB6546" w14:paraId="6B212FC4" w14:textId="77777777" w:rsidTr="0AFA2408">
        <w:trPr>
          <w:trHeight w:val="659"/>
        </w:trPr>
        <w:tc>
          <w:tcPr>
            <w:tcW w:w="2127" w:type="dxa"/>
          </w:tcPr>
          <w:p w14:paraId="4EE13432" w14:textId="77777777" w:rsidR="00F04D6E" w:rsidRPr="00EB6546" w:rsidRDefault="00F04D6E" w:rsidP="00F04D6E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09C53AF" w14:textId="77777777" w:rsidR="00F04D6E" w:rsidRPr="00EB6546" w:rsidRDefault="00F04D6E" w:rsidP="00F04D6E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78431B2A" w14:textId="77777777" w:rsidR="00F04D6E" w:rsidRPr="00EB6546" w:rsidRDefault="00F04D6E" w:rsidP="00F04D6E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B6546">
              <w:rPr>
                <w:rFonts w:ascii="Arial" w:hAnsi="Arial" w:cs="Arial"/>
                <w:b/>
                <w:sz w:val="20"/>
                <w:szCs w:val="20"/>
              </w:rPr>
              <w:t>Regulated Function(s) Held:</w:t>
            </w:r>
          </w:p>
        </w:tc>
        <w:tc>
          <w:tcPr>
            <w:tcW w:w="3289" w:type="dxa"/>
          </w:tcPr>
          <w:p w14:paraId="16B32318" w14:textId="41DFDA8C" w:rsidR="00F04D6E" w:rsidRPr="00EB6546" w:rsidRDefault="00F04D6E" w:rsidP="00F04D6E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18C0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F04D6E" w:rsidRPr="00EB6546" w14:paraId="17A18DD6" w14:textId="77777777" w:rsidTr="0AFA2408">
        <w:trPr>
          <w:trHeight w:val="558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3326AFC" w14:textId="77777777" w:rsidR="00F04D6E" w:rsidRPr="00EB6546" w:rsidRDefault="00F04D6E" w:rsidP="00F04D6E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EB6546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2835" w:type="dxa"/>
            <w:vAlign w:val="center"/>
          </w:tcPr>
          <w:p w14:paraId="703F3E41" w14:textId="6C8CB405" w:rsidR="00F04D6E" w:rsidRPr="00EB6546" w:rsidRDefault="007448C4" w:rsidP="00F04D6E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 1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544356E" w14:textId="77777777" w:rsidR="00F04D6E" w:rsidRPr="00EB6546" w:rsidRDefault="00F04D6E" w:rsidP="00F04D6E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B6546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289" w:type="dxa"/>
            <w:vAlign w:val="center"/>
          </w:tcPr>
          <w:p w14:paraId="0B3E7FD2" w14:textId="14F41A06" w:rsidR="00F04D6E" w:rsidRDefault="00FA7323" w:rsidP="00F04D6E">
            <w:pPr>
              <w:pStyle w:val="Header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Digital, Data, Change</w:t>
            </w:r>
          </w:p>
        </w:tc>
      </w:tr>
    </w:tbl>
    <w:p w14:paraId="2BCB19A5" w14:textId="77777777" w:rsidR="00F5319A" w:rsidRPr="00EB6546" w:rsidRDefault="00F5319A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205" w:type="dxa"/>
        <w:tblInd w:w="-712" w:type="dxa"/>
        <w:tblLook w:val="04A0" w:firstRow="1" w:lastRow="0" w:firstColumn="1" w:lastColumn="0" w:noHBand="0" w:noVBand="1"/>
      </w:tblPr>
      <w:tblGrid>
        <w:gridCol w:w="10205"/>
      </w:tblGrid>
      <w:tr w:rsidR="009E22D0" w:rsidRPr="00EB6546" w14:paraId="0258E2D4" w14:textId="77777777" w:rsidTr="0025020C">
        <w:trPr>
          <w:trHeight w:val="456"/>
        </w:trPr>
        <w:tc>
          <w:tcPr>
            <w:tcW w:w="10205" w:type="dxa"/>
            <w:shd w:val="clear" w:color="auto" w:fill="D9D9D9" w:themeFill="background1" w:themeFillShade="D9"/>
          </w:tcPr>
          <w:p w14:paraId="29A38CAF" w14:textId="77777777" w:rsidR="009E22D0" w:rsidRPr="00EB6546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B6546">
              <w:rPr>
                <w:rFonts w:ascii="Arial" w:hAnsi="Arial" w:cs="Arial"/>
                <w:b/>
                <w:sz w:val="20"/>
                <w:szCs w:val="20"/>
              </w:rPr>
              <w:t>Overall</w:t>
            </w:r>
            <w:proofErr w:type="gramEnd"/>
            <w:r w:rsidRPr="00EB6546">
              <w:rPr>
                <w:rFonts w:ascii="Arial" w:hAnsi="Arial" w:cs="Arial"/>
                <w:b/>
                <w:sz w:val="20"/>
                <w:szCs w:val="20"/>
              </w:rPr>
              <w:t xml:space="preserve"> Role Purpose</w:t>
            </w:r>
          </w:p>
        </w:tc>
      </w:tr>
      <w:tr w:rsidR="009E22D0" w:rsidRPr="00EB6546" w14:paraId="0F688C8C" w14:textId="77777777" w:rsidTr="0025020C">
        <w:trPr>
          <w:trHeight w:val="693"/>
        </w:trPr>
        <w:tc>
          <w:tcPr>
            <w:tcW w:w="10205" w:type="dxa"/>
          </w:tcPr>
          <w:p w14:paraId="6171CDBC" w14:textId="3B8AD769" w:rsidR="00CC13CE" w:rsidRPr="00CC13CE" w:rsidRDefault="00CC13CE" w:rsidP="00CC13C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C13CE">
              <w:rPr>
                <w:rFonts w:ascii="Arial" w:hAnsi="Arial" w:cs="Arial"/>
                <w:sz w:val="20"/>
                <w:szCs w:val="20"/>
              </w:rPr>
              <w:t xml:space="preserve">The Cloud &amp; Infrastructure Domain Architect is </w:t>
            </w:r>
            <w:r w:rsidR="00490C6B">
              <w:rPr>
                <w:rFonts w:ascii="Arial" w:hAnsi="Arial" w:cs="Arial"/>
                <w:sz w:val="20"/>
                <w:szCs w:val="20"/>
              </w:rPr>
              <w:t>responsible for designing</w:t>
            </w:r>
            <w:r w:rsidR="00A00E30">
              <w:rPr>
                <w:rFonts w:ascii="Arial" w:hAnsi="Arial" w:cs="Arial"/>
                <w:sz w:val="20"/>
                <w:szCs w:val="20"/>
              </w:rPr>
              <w:t xml:space="preserve"> and governing </w:t>
            </w:r>
            <w:r w:rsidR="00CC668A">
              <w:rPr>
                <w:rFonts w:ascii="Arial" w:hAnsi="Arial" w:cs="Arial"/>
                <w:sz w:val="20"/>
                <w:szCs w:val="20"/>
              </w:rPr>
              <w:t>enterprise-grade cloud</w:t>
            </w:r>
            <w:r w:rsidR="00375757">
              <w:rPr>
                <w:rFonts w:ascii="Arial" w:hAnsi="Arial" w:cs="Arial"/>
                <w:sz w:val="20"/>
                <w:szCs w:val="20"/>
              </w:rPr>
              <w:t xml:space="preserve"> and when required, </w:t>
            </w:r>
            <w:r w:rsidR="008B4286">
              <w:rPr>
                <w:rFonts w:ascii="Arial" w:hAnsi="Arial" w:cs="Arial"/>
                <w:sz w:val="20"/>
                <w:szCs w:val="20"/>
              </w:rPr>
              <w:t>on-premises</w:t>
            </w:r>
            <w:r w:rsidR="00375757">
              <w:rPr>
                <w:rFonts w:ascii="Arial" w:hAnsi="Arial" w:cs="Arial"/>
                <w:sz w:val="20"/>
                <w:szCs w:val="20"/>
              </w:rPr>
              <w:t xml:space="preserve"> infrastructure.</w:t>
            </w:r>
            <w:r w:rsidR="00E8439B">
              <w:rPr>
                <w:rFonts w:ascii="Arial" w:hAnsi="Arial" w:cs="Arial"/>
                <w:sz w:val="20"/>
                <w:szCs w:val="20"/>
              </w:rPr>
              <w:t xml:space="preserve"> They are also </w:t>
            </w:r>
            <w:r w:rsidR="00EE4C38" w:rsidRPr="00EE4C38">
              <w:rPr>
                <w:rFonts w:ascii="Arial" w:hAnsi="Arial" w:cs="Arial"/>
                <w:sz w:val="20"/>
                <w:szCs w:val="20"/>
              </w:rPr>
              <w:t>responsible for the design, governance and continual improvement of End User Computing of desktop, device and application delivery platforms.</w:t>
            </w:r>
            <w:r w:rsidR="00D16028">
              <w:rPr>
                <w:rFonts w:ascii="Arial" w:hAnsi="Arial" w:cs="Arial"/>
                <w:sz w:val="20"/>
                <w:szCs w:val="20"/>
              </w:rPr>
              <w:t xml:space="preserve"> Th</w:t>
            </w:r>
            <w:r w:rsidR="00333CE5">
              <w:rPr>
                <w:rFonts w:ascii="Arial" w:hAnsi="Arial" w:cs="Arial"/>
                <w:sz w:val="20"/>
                <w:szCs w:val="20"/>
              </w:rPr>
              <w:t>i</w:t>
            </w:r>
            <w:r w:rsidR="00D16028">
              <w:rPr>
                <w:rFonts w:ascii="Arial" w:hAnsi="Arial" w:cs="Arial"/>
                <w:sz w:val="20"/>
                <w:szCs w:val="20"/>
              </w:rPr>
              <w:t xml:space="preserve">s role </w:t>
            </w:r>
            <w:r w:rsidR="00F2284B">
              <w:rPr>
                <w:rFonts w:ascii="Arial" w:hAnsi="Arial" w:cs="Arial"/>
                <w:sz w:val="20"/>
                <w:szCs w:val="20"/>
              </w:rPr>
              <w:t xml:space="preserve">ensures </w:t>
            </w:r>
            <w:r w:rsidR="00E15431">
              <w:rPr>
                <w:rFonts w:ascii="Arial" w:hAnsi="Arial" w:cs="Arial"/>
                <w:sz w:val="20"/>
                <w:szCs w:val="20"/>
              </w:rPr>
              <w:t>that technology platforms are secure</w:t>
            </w:r>
            <w:r w:rsidR="009B46DB">
              <w:rPr>
                <w:rFonts w:ascii="Arial" w:hAnsi="Arial" w:cs="Arial"/>
                <w:sz w:val="20"/>
                <w:szCs w:val="20"/>
              </w:rPr>
              <w:t xml:space="preserve">, scalable, cost-optimised </w:t>
            </w:r>
            <w:r w:rsidR="00CB5B45">
              <w:rPr>
                <w:rFonts w:ascii="Arial" w:hAnsi="Arial" w:cs="Arial"/>
                <w:sz w:val="20"/>
                <w:szCs w:val="20"/>
              </w:rPr>
              <w:t>and aligned to MPS</w:t>
            </w:r>
            <w:r w:rsidR="007D0646">
              <w:rPr>
                <w:rFonts w:ascii="Arial" w:hAnsi="Arial" w:cs="Arial"/>
                <w:sz w:val="20"/>
                <w:szCs w:val="20"/>
              </w:rPr>
              <w:t xml:space="preserve"> overall strategy. </w:t>
            </w:r>
          </w:p>
          <w:p w14:paraId="65EE9251" w14:textId="1D03F2B4" w:rsidR="00CC13CE" w:rsidRPr="00CC13CE" w:rsidRDefault="00CC13CE" w:rsidP="00CC13C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C13CE">
              <w:rPr>
                <w:rFonts w:ascii="Arial" w:hAnsi="Arial" w:cs="Arial"/>
                <w:sz w:val="20"/>
                <w:szCs w:val="20"/>
              </w:rPr>
              <w:t xml:space="preserve">The role defines and maintains the domain strategy, target state architecture, </w:t>
            </w:r>
            <w:r w:rsidR="00546FCE">
              <w:rPr>
                <w:rFonts w:ascii="Arial" w:hAnsi="Arial" w:cs="Arial"/>
                <w:sz w:val="20"/>
                <w:szCs w:val="20"/>
              </w:rPr>
              <w:t>designs</w:t>
            </w:r>
            <w:r w:rsidRPr="00CC13CE">
              <w:rPr>
                <w:rFonts w:ascii="Arial" w:hAnsi="Arial" w:cs="Arial"/>
                <w:sz w:val="20"/>
                <w:szCs w:val="20"/>
              </w:rPr>
              <w:t>, patterns and standards governing the enterprise cloud estate, hybrid infrastructure, enterprise networking (including SD-WAN),</w:t>
            </w:r>
            <w:r w:rsidR="00E830DA">
              <w:rPr>
                <w:rFonts w:ascii="Arial" w:hAnsi="Arial" w:cs="Arial"/>
                <w:sz w:val="20"/>
                <w:szCs w:val="20"/>
              </w:rPr>
              <w:t xml:space="preserve"> EUC/Desktop</w:t>
            </w:r>
            <w:r w:rsidRPr="00CC13CE">
              <w:rPr>
                <w:rFonts w:ascii="Arial" w:hAnsi="Arial" w:cs="Arial"/>
                <w:sz w:val="20"/>
                <w:szCs w:val="20"/>
              </w:rPr>
              <w:t xml:space="preserve"> and telephony and contact centre infrastructure platforms.</w:t>
            </w:r>
          </w:p>
          <w:p w14:paraId="0C701248" w14:textId="3B82A1CE" w:rsidR="00CC13CE" w:rsidRPr="00CC13CE" w:rsidRDefault="00CC13CE" w:rsidP="00CC13C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C13CE">
              <w:rPr>
                <w:rFonts w:ascii="Arial" w:hAnsi="Arial" w:cs="Arial"/>
                <w:sz w:val="20"/>
                <w:szCs w:val="20"/>
              </w:rPr>
              <w:t xml:space="preserve">Operating within Architecture &amp; Engineering and reporting to the </w:t>
            </w:r>
            <w:r w:rsidR="00DD01CB">
              <w:rPr>
                <w:rFonts w:ascii="Arial" w:hAnsi="Arial" w:cs="Arial"/>
                <w:sz w:val="20"/>
                <w:szCs w:val="20"/>
              </w:rPr>
              <w:t xml:space="preserve">Lead Solution </w:t>
            </w:r>
            <w:r w:rsidR="00BF4F68">
              <w:rPr>
                <w:rFonts w:ascii="Arial" w:hAnsi="Arial" w:cs="Arial"/>
                <w:sz w:val="20"/>
                <w:szCs w:val="20"/>
              </w:rPr>
              <w:t>Architect</w:t>
            </w:r>
            <w:r w:rsidRPr="00CC13CE">
              <w:rPr>
                <w:rFonts w:ascii="Arial" w:hAnsi="Arial" w:cs="Arial"/>
                <w:sz w:val="20"/>
                <w:szCs w:val="20"/>
              </w:rPr>
              <w:t>, the role translates enterprise architectural direction into domain-level architectural standards and actionable roadmaps. The role does not define enterprise-wide strategy but ensures that Cloud and Infrastructure architecture is aligned to it.</w:t>
            </w:r>
          </w:p>
          <w:p w14:paraId="427A1A5D" w14:textId="77777777" w:rsidR="00CC13CE" w:rsidRPr="00CC13CE" w:rsidRDefault="00CC13CE" w:rsidP="00CC13C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C13CE">
              <w:rPr>
                <w:rFonts w:ascii="Arial" w:hAnsi="Arial" w:cs="Arial"/>
                <w:sz w:val="20"/>
                <w:szCs w:val="20"/>
              </w:rPr>
              <w:t>The role:</w:t>
            </w:r>
          </w:p>
          <w:p w14:paraId="61524331" w14:textId="77777777" w:rsidR="00CC13CE" w:rsidRPr="00CC13CE" w:rsidRDefault="00CC13CE" w:rsidP="00282C18">
            <w:pPr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C13CE">
              <w:rPr>
                <w:rFonts w:ascii="Arial" w:hAnsi="Arial" w:cs="Arial"/>
                <w:sz w:val="20"/>
                <w:szCs w:val="20"/>
              </w:rPr>
              <w:t>Owns the architectural integrity of the Microsoft Azure estate, ensuring alignment to Microsoft Well-Architected Framework (WAF) principles</w:t>
            </w:r>
          </w:p>
          <w:p w14:paraId="2BE88DBD" w14:textId="77777777" w:rsidR="00CC13CE" w:rsidRPr="00CC13CE" w:rsidRDefault="00CC13CE" w:rsidP="00282C18">
            <w:pPr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C13CE">
              <w:rPr>
                <w:rFonts w:ascii="Arial" w:hAnsi="Arial" w:cs="Arial"/>
                <w:sz w:val="20"/>
                <w:szCs w:val="20"/>
              </w:rPr>
              <w:t>Defines and governs reference architectures for hosting, networking, connectivity and infrastructure resilience</w:t>
            </w:r>
          </w:p>
          <w:p w14:paraId="13924475" w14:textId="77777777" w:rsidR="00CC13CE" w:rsidRPr="00CC13CE" w:rsidRDefault="00CC13CE" w:rsidP="00282C18">
            <w:pPr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C13CE">
              <w:rPr>
                <w:rFonts w:ascii="Arial" w:hAnsi="Arial" w:cs="Arial"/>
                <w:sz w:val="20"/>
                <w:szCs w:val="20"/>
              </w:rPr>
              <w:t>Establishes domain guardrails to ensure scalable, secure and cost-effective infrastructure design</w:t>
            </w:r>
          </w:p>
          <w:p w14:paraId="6D590A34" w14:textId="77777777" w:rsidR="00CC13CE" w:rsidRPr="00CC13CE" w:rsidRDefault="00CC13CE" w:rsidP="00282C18">
            <w:pPr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C13CE">
              <w:rPr>
                <w:rFonts w:ascii="Arial" w:hAnsi="Arial" w:cs="Arial"/>
                <w:sz w:val="20"/>
                <w:szCs w:val="20"/>
              </w:rPr>
              <w:t>Acts as the authoritative subject matter expert and internal consultant to Solution Architects across delivery towers</w:t>
            </w:r>
          </w:p>
          <w:p w14:paraId="0BE95498" w14:textId="77777777" w:rsidR="00CC13CE" w:rsidRPr="00CC13CE" w:rsidRDefault="00CC13CE" w:rsidP="00282C18">
            <w:pPr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C13CE">
              <w:rPr>
                <w:rFonts w:ascii="Arial" w:hAnsi="Arial" w:cs="Arial"/>
                <w:sz w:val="20"/>
                <w:szCs w:val="20"/>
              </w:rPr>
              <w:t>Provides architectural assurance and sign-off for infrastructure-related designs</w:t>
            </w:r>
          </w:p>
          <w:p w14:paraId="115F0DAF" w14:textId="1D864171" w:rsidR="00CC13CE" w:rsidRPr="00CC13CE" w:rsidRDefault="00CC13CE" w:rsidP="00CC13C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C13CE">
              <w:rPr>
                <w:rFonts w:ascii="Arial" w:hAnsi="Arial" w:cs="Arial"/>
                <w:sz w:val="20"/>
                <w:szCs w:val="20"/>
              </w:rPr>
              <w:t xml:space="preserve">The role works in close partnership with </w:t>
            </w:r>
            <w:r w:rsidR="00741C6E">
              <w:rPr>
                <w:rFonts w:ascii="Arial" w:hAnsi="Arial" w:cs="Arial"/>
                <w:sz w:val="20"/>
                <w:szCs w:val="20"/>
              </w:rPr>
              <w:t>key stakeholder</w:t>
            </w:r>
            <w:r w:rsidR="00E87468">
              <w:rPr>
                <w:rFonts w:ascii="Arial" w:hAnsi="Arial" w:cs="Arial"/>
                <w:sz w:val="20"/>
                <w:szCs w:val="20"/>
              </w:rPr>
              <w:t>s</w:t>
            </w:r>
            <w:r w:rsidR="00741C6E">
              <w:rPr>
                <w:rFonts w:ascii="Arial" w:hAnsi="Arial" w:cs="Arial"/>
                <w:sz w:val="20"/>
                <w:szCs w:val="20"/>
              </w:rPr>
              <w:t xml:space="preserve"> in th</w:t>
            </w:r>
            <w:r w:rsidR="005529E6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E32451">
              <w:rPr>
                <w:rFonts w:ascii="Arial" w:hAnsi="Arial" w:cs="Arial"/>
                <w:sz w:val="20"/>
                <w:szCs w:val="20"/>
              </w:rPr>
              <w:t>Technology Operations</w:t>
            </w:r>
            <w:r w:rsidR="00E87468">
              <w:rPr>
                <w:rFonts w:ascii="Arial" w:hAnsi="Arial" w:cs="Arial"/>
                <w:sz w:val="20"/>
                <w:szCs w:val="20"/>
              </w:rPr>
              <w:t xml:space="preserve"> function,</w:t>
            </w:r>
            <w:r w:rsidRPr="00CC13CE">
              <w:rPr>
                <w:rFonts w:ascii="Arial" w:hAnsi="Arial" w:cs="Arial"/>
                <w:sz w:val="20"/>
                <w:szCs w:val="20"/>
              </w:rPr>
              <w:t xml:space="preserve"> to ensure alignment between architectural intent and operational capability, while maintaining independence in architectural governance.</w:t>
            </w:r>
          </w:p>
          <w:p w14:paraId="7F3E2D9B" w14:textId="077EA041" w:rsidR="00F47E3A" w:rsidRPr="00EB6546" w:rsidRDefault="00CC13CE" w:rsidP="00016F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C13CE">
              <w:rPr>
                <w:rFonts w:ascii="Arial" w:hAnsi="Arial" w:cs="Arial"/>
                <w:sz w:val="20"/>
                <w:szCs w:val="20"/>
              </w:rPr>
              <w:t xml:space="preserve">The role </w:t>
            </w:r>
            <w:r w:rsidR="00096A3B" w:rsidRPr="00CC13CE">
              <w:rPr>
                <w:rFonts w:ascii="Arial" w:hAnsi="Arial" w:cs="Arial"/>
                <w:sz w:val="20"/>
                <w:szCs w:val="20"/>
              </w:rPr>
              <w:t>collaborates with</w:t>
            </w:r>
            <w:r w:rsidR="00CF44CA">
              <w:rPr>
                <w:rFonts w:ascii="Arial" w:hAnsi="Arial" w:cs="Arial"/>
                <w:sz w:val="20"/>
                <w:szCs w:val="20"/>
              </w:rPr>
              <w:t xml:space="preserve"> other </w:t>
            </w:r>
            <w:r w:rsidRPr="00CC13CE">
              <w:rPr>
                <w:rFonts w:ascii="Arial" w:hAnsi="Arial" w:cs="Arial"/>
                <w:sz w:val="20"/>
                <w:szCs w:val="20"/>
              </w:rPr>
              <w:t>Domain Architects to ensure coherent cross-domain architecture and alignment to enterprise architectural standards.</w:t>
            </w:r>
          </w:p>
        </w:tc>
      </w:tr>
    </w:tbl>
    <w:p w14:paraId="38E48671" w14:textId="77777777" w:rsidR="009E22D0" w:rsidRDefault="009E22D0" w:rsidP="00B75089">
      <w:pPr>
        <w:spacing w:line="240" w:lineRule="auto"/>
        <w:rPr>
          <w:rFonts w:ascii="Arial" w:hAnsi="Arial" w:cs="Arial"/>
        </w:rPr>
      </w:pPr>
    </w:p>
    <w:p w14:paraId="04CD9666" w14:textId="77777777" w:rsidR="00CC13CE" w:rsidRDefault="00CC13CE" w:rsidP="00B75089">
      <w:pPr>
        <w:spacing w:line="240" w:lineRule="auto"/>
        <w:rPr>
          <w:rFonts w:ascii="Arial" w:hAnsi="Arial" w:cs="Arial"/>
        </w:rPr>
      </w:pPr>
    </w:p>
    <w:p w14:paraId="14E7AD8B" w14:textId="77777777" w:rsidR="00CC13CE" w:rsidRPr="00EB6546" w:rsidRDefault="00CC13CE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202" w:type="dxa"/>
        <w:tblInd w:w="-70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957"/>
        <w:gridCol w:w="5245"/>
      </w:tblGrid>
      <w:tr w:rsidR="009E22D0" w:rsidRPr="00EB6546" w14:paraId="5101629D" w14:textId="77777777" w:rsidTr="00862A8B">
        <w:trPr>
          <w:trHeight w:val="310"/>
        </w:trPr>
        <w:tc>
          <w:tcPr>
            <w:tcW w:w="4957" w:type="dxa"/>
            <w:shd w:val="clear" w:color="auto" w:fill="D9D9D9" w:themeFill="background1" w:themeFillShade="D9"/>
          </w:tcPr>
          <w:p w14:paraId="32065DA4" w14:textId="77777777" w:rsidR="009E22D0" w:rsidRPr="00EB6546" w:rsidRDefault="009E22D0" w:rsidP="001F40B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432615" w14:textId="77777777" w:rsidR="009E22D0" w:rsidRPr="00EB6546" w:rsidRDefault="009E22D0" w:rsidP="001F40B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B6546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EB6546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EB6546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6018D4BC" w14:textId="77777777" w:rsidR="009E22D0" w:rsidRPr="00EB6546" w:rsidRDefault="009E22D0" w:rsidP="001F40B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A619B9" w14:textId="77777777" w:rsidR="009E22D0" w:rsidRPr="00EB6546" w:rsidRDefault="009E22D0" w:rsidP="001F40B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B6546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14:paraId="0635977E" w14:textId="77777777" w:rsidR="00BB5A20" w:rsidRPr="00EB6546" w:rsidRDefault="00BB5A20" w:rsidP="001F40B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A250D" w:rsidRPr="00EB6546" w14:paraId="0ADFDD58" w14:textId="77777777" w:rsidTr="00862A8B">
        <w:trPr>
          <w:trHeight w:val="1747"/>
        </w:trPr>
        <w:tc>
          <w:tcPr>
            <w:tcW w:w="4957" w:type="dxa"/>
          </w:tcPr>
          <w:p w14:paraId="3D30F076" w14:textId="1210D146" w:rsidR="005A250D" w:rsidRPr="00EB6546" w:rsidRDefault="005A250D" w:rsidP="00016F1C">
            <w:pPr>
              <w:spacing w:before="100" w:after="10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B654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Operational</w:t>
            </w:r>
          </w:p>
          <w:p w14:paraId="032045A7" w14:textId="629941D5" w:rsidR="00CC13CE" w:rsidRPr="00CC13CE" w:rsidRDefault="00CC13CE" w:rsidP="00016F1C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C13CE">
              <w:rPr>
                <w:rFonts w:ascii="Arial" w:hAnsi="Arial" w:cs="Arial"/>
                <w:sz w:val="20"/>
                <w:szCs w:val="20"/>
              </w:rPr>
              <w:t>Define and maintain the Cloud &amp; Infrastructure domain strategy aligned to enterprise architectural direction.</w:t>
            </w:r>
          </w:p>
          <w:p w14:paraId="081CDA6F" w14:textId="0CF627FC" w:rsidR="00CC13CE" w:rsidRPr="00CC13CE" w:rsidRDefault="00CC13CE" w:rsidP="00016F1C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C13CE">
              <w:rPr>
                <w:rFonts w:ascii="Arial" w:hAnsi="Arial" w:cs="Arial"/>
                <w:sz w:val="20"/>
                <w:szCs w:val="20"/>
              </w:rPr>
              <w:t>Own and evolve the target state architecture and transition roadmap for Azure, hybrid infrastructure, enterprise networking and telephony platforms.</w:t>
            </w:r>
          </w:p>
          <w:p w14:paraId="55F481BB" w14:textId="7211762C" w:rsidR="00CC13CE" w:rsidRPr="00CC13CE" w:rsidRDefault="00CC13CE" w:rsidP="00016F1C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C13CE">
              <w:rPr>
                <w:rFonts w:ascii="Arial" w:hAnsi="Arial" w:cs="Arial"/>
                <w:sz w:val="20"/>
                <w:szCs w:val="20"/>
              </w:rPr>
              <w:t>Develop, publish and govern domain blueprints, patterns, standards and guardrails aligned to Microsoft Well-Architected Framework (WAF) principles.</w:t>
            </w:r>
          </w:p>
          <w:p w14:paraId="2021D69E" w14:textId="7D4E5E0A" w:rsidR="00CC13CE" w:rsidRPr="00CC13CE" w:rsidRDefault="00CC13CE" w:rsidP="00016F1C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C13CE">
              <w:rPr>
                <w:rFonts w:ascii="Arial" w:hAnsi="Arial" w:cs="Arial"/>
                <w:sz w:val="20"/>
                <w:szCs w:val="20"/>
              </w:rPr>
              <w:t>Provide architectural oversight and formal assurance for infrastructure, network and telephony designs within delivery towers and programmes.</w:t>
            </w:r>
          </w:p>
          <w:p w14:paraId="50613914" w14:textId="77777777" w:rsidR="00CC13CE" w:rsidRPr="00CC13CE" w:rsidRDefault="00CC13CE" w:rsidP="00016F1C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C13CE">
              <w:rPr>
                <w:rFonts w:ascii="Arial" w:hAnsi="Arial" w:cs="Arial"/>
                <w:sz w:val="20"/>
                <w:szCs w:val="20"/>
              </w:rPr>
              <w:t>Act as the Cloud &amp; Infrastructure subject matter authority, consulting to Solution Architects during HLD and LLD development.</w:t>
            </w:r>
          </w:p>
          <w:p w14:paraId="3D84C56D" w14:textId="6C7B470A" w:rsidR="00CC13CE" w:rsidRPr="00CC13CE" w:rsidRDefault="00CC13CE" w:rsidP="00016F1C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C13CE">
              <w:rPr>
                <w:rFonts w:ascii="Arial" w:hAnsi="Arial" w:cs="Arial"/>
                <w:sz w:val="20"/>
                <w:szCs w:val="20"/>
              </w:rPr>
              <w:t>Ensure cross-domain alignment with Security, Data and Integration architectures to deliver coherent end-to-end solutions.</w:t>
            </w:r>
          </w:p>
          <w:p w14:paraId="2996BFB0" w14:textId="6FD37581" w:rsidR="00CC13CE" w:rsidRPr="00CC13CE" w:rsidRDefault="00CC13CE" w:rsidP="00016F1C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C13CE">
              <w:rPr>
                <w:rFonts w:ascii="Arial" w:hAnsi="Arial" w:cs="Arial"/>
                <w:sz w:val="20"/>
                <w:szCs w:val="20"/>
              </w:rPr>
              <w:t>Partner with IT Operations to ensure architectural standards are operable, scalable and sustainable, while maintaining independence of architectural governance.</w:t>
            </w:r>
          </w:p>
          <w:p w14:paraId="1985A707" w14:textId="231E9EFE" w:rsidR="005A250D" w:rsidRPr="00EB6546" w:rsidRDefault="00CC13CE" w:rsidP="00016F1C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16F1C">
              <w:rPr>
                <w:rFonts w:ascii="Arial" w:hAnsi="Arial" w:cs="Arial"/>
                <w:sz w:val="20"/>
                <w:szCs w:val="20"/>
              </w:rPr>
              <w:t>Identify emerging infrastructure and cloud trends and assess applicability to the domain roadmap.</w:t>
            </w:r>
          </w:p>
        </w:tc>
        <w:tc>
          <w:tcPr>
            <w:tcW w:w="5245" w:type="dxa"/>
          </w:tcPr>
          <w:p w14:paraId="57686778" w14:textId="77777777" w:rsidR="00486247" w:rsidRPr="00EB6546" w:rsidRDefault="00486247" w:rsidP="00016F1C">
            <w:pPr>
              <w:pStyle w:val="ListParagraph"/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5FB7F1F" w14:textId="77777777" w:rsidR="00486247" w:rsidRPr="00EB6546" w:rsidRDefault="00486247" w:rsidP="00016F1C">
            <w:pPr>
              <w:pStyle w:val="ListParagraph"/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E70C20F" w14:textId="18BD5635" w:rsidR="00CC13CE" w:rsidRPr="00CC13CE" w:rsidRDefault="00CC13CE" w:rsidP="00016F1C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CC13CE">
              <w:rPr>
                <w:rFonts w:ascii="Arial" w:eastAsia="Calibri" w:hAnsi="Arial" w:cs="Arial"/>
                <w:sz w:val="20"/>
                <w:szCs w:val="20"/>
              </w:rPr>
              <w:t>Approved and maintained Cloud &amp; Infrastructure domain strategy and roadmap.</w:t>
            </w:r>
          </w:p>
          <w:p w14:paraId="36D17E9C" w14:textId="459D001B" w:rsidR="00CC13CE" w:rsidRPr="00CC13CE" w:rsidRDefault="00CC13CE" w:rsidP="00016F1C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CC13CE">
              <w:rPr>
                <w:rFonts w:ascii="Arial" w:eastAsia="Calibri" w:hAnsi="Arial" w:cs="Arial"/>
                <w:sz w:val="20"/>
                <w:szCs w:val="20"/>
              </w:rPr>
              <w:t>Publication and adoption of domain blueprints, standards and reference architectures.</w:t>
            </w:r>
          </w:p>
          <w:p w14:paraId="1DF2F340" w14:textId="59B02A32" w:rsidR="00CC13CE" w:rsidRPr="00CC13CE" w:rsidRDefault="00CC13CE" w:rsidP="00016F1C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CC13CE">
              <w:rPr>
                <w:rFonts w:ascii="Arial" w:eastAsia="Calibri" w:hAnsi="Arial" w:cs="Arial"/>
                <w:sz w:val="20"/>
                <w:szCs w:val="20"/>
              </w:rPr>
              <w:t>% of delivery initiatives aligned to approved Cloud &amp; Infrastructure patterns (design conformance rate).</w:t>
            </w:r>
          </w:p>
          <w:p w14:paraId="0C6AAA28" w14:textId="7BC7D789" w:rsidR="00CC13CE" w:rsidRPr="00CC13CE" w:rsidRDefault="00CC13CE" w:rsidP="00016F1C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CC13CE">
              <w:rPr>
                <w:rFonts w:ascii="Arial" w:eastAsia="Calibri" w:hAnsi="Arial" w:cs="Arial"/>
                <w:sz w:val="20"/>
                <w:szCs w:val="20"/>
              </w:rPr>
              <w:t>Reduction in non-standard or bespoke infrastructure implementations.</w:t>
            </w:r>
          </w:p>
          <w:p w14:paraId="730E7414" w14:textId="17C3A0B5" w:rsidR="00CC13CE" w:rsidRPr="00CC13CE" w:rsidRDefault="00CC13CE" w:rsidP="00016F1C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CC13CE">
              <w:rPr>
                <w:rFonts w:ascii="Arial" w:eastAsia="Calibri" w:hAnsi="Arial" w:cs="Arial"/>
                <w:sz w:val="20"/>
                <w:szCs w:val="20"/>
              </w:rPr>
              <w:t>Demonstrable alignment of Azure architecture to Microsoft Well-Architected Framework principles.</w:t>
            </w:r>
          </w:p>
          <w:p w14:paraId="0C882246" w14:textId="74F02ECA" w:rsidR="00CC13CE" w:rsidRPr="00CC13CE" w:rsidRDefault="00CC13CE" w:rsidP="00016F1C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CC13CE">
              <w:rPr>
                <w:rFonts w:ascii="Arial" w:eastAsia="Calibri" w:hAnsi="Arial" w:cs="Arial"/>
                <w:sz w:val="20"/>
                <w:szCs w:val="20"/>
              </w:rPr>
              <w:t>Stakeholder feedback from Solution Architects and IT Operations on clarity and effectiveness of architectural guidance.</w:t>
            </w:r>
          </w:p>
          <w:p w14:paraId="5D978669" w14:textId="6A5DF64E" w:rsidR="00CC13CE" w:rsidRPr="00CC13CE" w:rsidRDefault="00CC13CE" w:rsidP="00016F1C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CC13CE">
              <w:rPr>
                <w:rFonts w:ascii="Arial" w:eastAsia="Calibri" w:hAnsi="Arial" w:cs="Arial"/>
                <w:sz w:val="20"/>
                <w:szCs w:val="20"/>
              </w:rPr>
              <w:t>Evidence of infrastructure simplification and technical debt reduction influenced by architectural direction.</w:t>
            </w:r>
          </w:p>
          <w:p w14:paraId="190C3FB7" w14:textId="7795F2D1" w:rsidR="00CC13CE" w:rsidRPr="00CC13CE" w:rsidRDefault="00CC13CE" w:rsidP="00016F1C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CC13CE">
              <w:rPr>
                <w:rFonts w:ascii="Arial" w:eastAsia="Calibri" w:hAnsi="Arial" w:cs="Arial"/>
                <w:sz w:val="20"/>
                <w:szCs w:val="20"/>
              </w:rPr>
              <w:t>Timely production of architectural artefacts in line with governance checkpoints.</w:t>
            </w:r>
          </w:p>
          <w:p w14:paraId="738D32B9" w14:textId="77777777" w:rsidR="005A250D" w:rsidRPr="00CC13CE" w:rsidRDefault="005A250D" w:rsidP="00016F1C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A250D" w:rsidRPr="00EB6546" w14:paraId="424E12F0" w14:textId="77777777" w:rsidTr="00862A8B">
        <w:trPr>
          <w:trHeight w:val="578"/>
        </w:trPr>
        <w:tc>
          <w:tcPr>
            <w:tcW w:w="4957" w:type="dxa"/>
          </w:tcPr>
          <w:p w14:paraId="493B2F71" w14:textId="77777777" w:rsidR="005A250D" w:rsidRPr="00EB6546" w:rsidRDefault="005A250D" w:rsidP="00016F1C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6546">
              <w:rPr>
                <w:rFonts w:ascii="Arial" w:hAnsi="Arial" w:cs="Arial"/>
                <w:b/>
                <w:sz w:val="20"/>
                <w:szCs w:val="20"/>
              </w:rPr>
              <w:t>Financial</w:t>
            </w:r>
          </w:p>
          <w:p w14:paraId="4A519F52" w14:textId="0E93DA5C" w:rsidR="00CC13CE" w:rsidRPr="00CC13CE" w:rsidRDefault="00CC13CE" w:rsidP="00016F1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C13CE">
              <w:rPr>
                <w:rFonts w:ascii="Arial" w:hAnsi="Arial" w:cs="Arial"/>
                <w:sz w:val="20"/>
                <w:szCs w:val="20"/>
              </w:rPr>
              <w:t>Provide architectural input into business cases where Cloud and Infrastructure design decisions impact cost, resilience, scalability or long-term sustainability.</w:t>
            </w:r>
          </w:p>
          <w:p w14:paraId="3859EF19" w14:textId="13971F7F" w:rsidR="00CC13CE" w:rsidRPr="00CC13CE" w:rsidRDefault="00CC13CE" w:rsidP="00016F1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C13CE">
              <w:rPr>
                <w:rFonts w:ascii="Arial" w:hAnsi="Arial" w:cs="Arial"/>
                <w:sz w:val="20"/>
                <w:szCs w:val="20"/>
              </w:rPr>
              <w:t>Define and promote cost-optimised cloud architecture patterns aligned to FinOps principles and Microsoft Azure cost governance best practice.</w:t>
            </w:r>
          </w:p>
          <w:p w14:paraId="3AB46F11" w14:textId="77777777" w:rsidR="00CC13CE" w:rsidRPr="00CC13CE" w:rsidRDefault="00CC13CE" w:rsidP="00016F1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C13CE">
              <w:rPr>
                <w:rFonts w:ascii="Arial" w:hAnsi="Arial" w:cs="Arial"/>
                <w:sz w:val="20"/>
                <w:szCs w:val="20"/>
              </w:rPr>
              <w:t>Advise on infrastructure investment decisions to ensure alignment with domain strategy and target state architecture.</w:t>
            </w:r>
          </w:p>
          <w:p w14:paraId="57E33BEE" w14:textId="3715A4B6" w:rsidR="00CC13CE" w:rsidRPr="00CC13CE" w:rsidRDefault="00CC13CE" w:rsidP="00016F1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C13CE">
              <w:rPr>
                <w:rFonts w:ascii="Arial" w:hAnsi="Arial" w:cs="Arial"/>
                <w:sz w:val="20"/>
                <w:szCs w:val="20"/>
              </w:rPr>
              <w:t>Support financial planning by identifying opportunities for platform rationalisation, consolidation and technical debt reduction.</w:t>
            </w:r>
          </w:p>
          <w:p w14:paraId="23292803" w14:textId="21AB7AE8" w:rsidR="005A250D" w:rsidRPr="00CC13CE" w:rsidRDefault="00CC13CE" w:rsidP="00016F1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C13CE">
              <w:rPr>
                <w:rFonts w:ascii="Arial" w:hAnsi="Arial" w:cs="Arial"/>
                <w:sz w:val="20"/>
                <w:szCs w:val="20"/>
              </w:rPr>
              <w:t xml:space="preserve">Ensure architectural standards minimise duplication, unnecessary hosting costs and bespoke infrastructure </w:t>
            </w:r>
            <w:proofErr w:type="spellStart"/>
            <w:proofErr w:type="gramStart"/>
            <w:r w:rsidRPr="00CC13CE">
              <w:rPr>
                <w:rFonts w:ascii="Arial" w:hAnsi="Arial" w:cs="Arial"/>
                <w:sz w:val="20"/>
                <w:szCs w:val="20"/>
              </w:rPr>
              <w:t>solutions.Contribute</w:t>
            </w:r>
            <w:proofErr w:type="spellEnd"/>
            <w:proofErr w:type="gramEnd"/>
            <w:r w:rsidRPr="00CC13CE">
              <w:rPr>
                <w:rFonts w:ascii="Arial" w:hAnsi="Arial" w:cs="Arial"/>
                <w:sz w:val="20"/>
                <w:szCs w:val="20"/>
              </w:rPr>
              <w:t xml:space="preserve"> domain insight to annual planning cycles and investment prioritisation discussions.</w:t>
            </w:r>
          </w:p>
        </w:tc>
        <w:tc>
          <w:tcPr>
            <w:tcW w:w="5245" w:type="dxa"/>
          </w:tcPr>
          <w:p w14:paraId="7CF0B202" w14:textId="62C80057" w:rsidR="005A250D" w:rsidRPr="00EB6546" w:rsidRDefault="005A250D" w:rsidP="00016F1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8E9FC66" w14:textId="2DC200AB" w:rsidR="005A250D" w:rsidRPr="00EB6546" w:rsidRDefault="005A250D" w:rsidP="00016F1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A491BA4" w14:textId="385BAAC8" w:rsidR="00CC13CE" w:rsidRPr="00CC13CE" w:rsidRDefault="00CC13CE" w:rsidP="00016F1C">
            <w:pPr>
              <w:pStyle w:val="DPLBullet"/>
              <w:numPr>
                <w:ilvl w:val="0"/>
                <w:numId w:val="3"/>
              </w:numPr>
              <w:rPr>
                <w:sz w:val="20"/>
                <w:szCs w:val="20"/>
                <w:lang w:val="en-GB"/>
              </w:rPr>
            </w:pPr>
            <w:r w:rsidRPr="00CC13CE">
              <w:rPr>
                <w:sz w:val="20"/>
                <w:szCs w:val="20"/>
                <w:lang w:val="en-GB"/>
              </w:rPr>
              <w:t>Evidence of cost optimisation embedded within domain standards and patterns.</w:t>
            </w:r>
          </w:p>
          <w:p w14:paraId="41B63E4A" w14:textId="664A6CDC" w:rsidR="00CC13CE" w:rsidRPr="00CC13CE" w:rsidRDefault="00CC13CE" w:rsidP="00016F1C">
            <w:pPr>
              <w:pStyle w:val="DPLBullet"/>
              <w:numPr>
                <w:ilvl w:val="0"/>
                <w:numId w:val="3"/>
              </w:numPr>
              <w:rPr>
                <w:sz w:val="20"/>
                <w:szCs w:val="20"/>
                <w:lang w:val="en-GB"/>
              </w:rPr>
            </w:pPr>
            <w:r w:rsidRPr="00CC13CE">
              <w:rPr>
                <w:sz w:val="20"/>
                <w:szCs w:val="20"/>
                <w:lang w:val="en-GB"/>
              </w:rPr>
              <w:t>Reduction in avoidable cloud consumption inefficiencies attributable to architectural guidance.</w:t>
            </w:r>
          </w:p>
          <w:p w14:paraId="07808350" w14:textId="6D80F4CD" w:rsidR="00CC13CE" w:rsidRPr="00CC13CE" w:rsidRDefault="00CC13CE" w:rsidP="00016F1C">
            <w:pPr>
              <w:pStyle w:val="DPLBullet"/>
              <w:numPr>
                <w:ilvl w:val="0"/>
                <w:numId w:val="3"/>
              </w:numPr>
              <w:rPr>
                <w:sz w:val="20"/>
                <w:szCs w:val="20"/>
                <w:lang w:val="en-GB"/>
              </w:rPr>
            </w:pPr>
            <w:r w:rsidRPr="00CC13CE">
              <w:rPr>
                <w:sz w:val="20"/>
                <w:szCs w:val="20"/>
                <w:lang w:val="en-GB"/>
              </w:rPr>
              <w:t>Reduction in duplicate or non-standard infrastructure solutions.</w:t>
            </w:r>
          </w:p>
          <w:p w14:paraId="683A5326" w14:textId="7B31C2B8" w:rsidR="00CC13CE" w:rsidRPr="00CC13CE" w:rsidRDefault="00CC13CE" w:rsidP="00016F1C">
            <w:pPr>
              <w:pStyle w:val="DPLBullet"/>
              <w:numPr>
                <w:ilvl w:val="0"/>
                <w:numId w:val="3"/>
              </w:numPr>
              <w:rPr>
                <w:sz w:val="20"/>
                <w:szCs w:val="20"/>
                <w:lang w:val="en-GB"/>
              </w:rPr>
            </w:pPr>
            <w:r w:rsidRPr="00CC13CE">
              <w:rPr>
                <w:sz w:val="20"/>
                <w:szCs w:val="20"/>
                <w:lang w:val="en-GB"/>
              </w:rPr>
              <w:t>Positive variance between estimated and actual infrastructure costs where architectural input was provided.</w:t>
            </w:r>
          </w:p>
          <w:p w14:paraId="2094D6C3" w14:textId="5A7E0731" w:rsidR="00CC13CE" w:rsidRPr="00CC13CE" w:rsidRDefault="00CC13CE" w:rsidP="00016F1C">
            <w:pPr>
              <w:pStyle w:val="DPLBullet"/>
              <w:numPr>
                <w:ilvl w:val="0"/>
                <w:numId w:val="3"/>
              </w:numPr>
              <w:rPr>
                <w:sz w:val="20"/>
                <w:szCs w:val="20"/>
                <w:lang w:val="en-GB"/>
              </w:rPr>
            </w:pPr>
            <w:r w:rsidRPr="00CC13CE">
              <w:rPr>
                <w:sz w:val="20"/>
                <w:szCs w:val="20"/>
                <w:lang w:val="en-GB"/>
              </w:rPr>
              <w:t>Documented architectural input to business cases and investment proposals.</w:t>
            </w:r>
          </w:p>
          <w:p w14:paraId="08FFB748" w14:textId="763CF0C6" w:rsidR="00CC13CE" w:rsidRPr="00CC13CE" w:rsidRDefault="00CC13CE" w:rsidP="00016F1C">
            <w:pPr>
              <w:pStyle w:val="DPLBullet"/>
              <w:numPr>
                <w:ilvl w:val="0"/>
                <w:numId w:val="3"/>
              </w:numPr>
              <w:rPr>
                <w:sz w:val="20"/>
                <w:szCs w:val="20"/>
                <w:lang w:val="en-GB"/>
              </w:rPr>
            </w:pPr>
            <w:r w:rsidRPr="00CC13CE">
              <w:rPr>
                <w:sz w:val="20"/>
                <w:szCs w:val="20"/>
                <w:lang w:val="en-GB"/>
              </w:rPr>
              <w:t>Clear infrastructure roadmap aligned to agreed financial planning cycles.</w:t>
            </w:r>
          </w:p>
          <w:p w14:paraId="5A95DD0D" w14:textId="77777777" w:rsidR="005A250D" w:rsidRPr="00EB6546" w:rsidRDefault="005A250D" w:rsidP="00016F1C">
            <w:pPr>
              <w:pStyle w:val="DPLBullet"/>
              <w:tabs>
                <w:tab w:val="clear" w:pos="362"/>
                <w:tab w:val="clear" w:pos="896"/>
              </w:tabs>
              <w:ind w:left="0"/>
              <w:rPr>
                <w:sz w:val="20"/>
                <w:szCs w:val="20"/>
              </w:rPr>
            </w:pPr>
          </w:p>
        </w:tc>
      </w:tr>
      <w:tr w:rsidR="005A250D" w:rsidRPr="00EB6546" w14:paraId="1DB46911" w14:textId="77777777" w:rsidTr="00862A8B">
        <w:trPr>
          <w:trHeight w:val="578"/>
        </w:trPr>
        <w:tc>
          <w:tcPr>
            <w:tcW w:w="4957" w:type="dxa"/>
          </w:tcPr>
          <w:p w14:paraId="48396B83" w14:textId="77777777" w:rsidR="005A250D" w:rsidRPr="00EB6546" w:rsidRDefault="005A250D" w:rsidP="005A250D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6546">
              <w:rPr>
                <w:rFonts w:ascii="Arial" w:hAnsi="Arial" w:cs="Arial"/>
                <w:b/>
                <w:sz w:val="20"/>
                <w:szCs w:val="20"/>
              </w:rPr>
              <w:lastRenderedPageBreak/>
              <w:t>Member</w:t>
            </w:r>
          </w:p>
          <w:p w14:paraId="78943DAA" w14:textId="688F2721" w:rsidR="00CC13CE" w:rsidRPr="00CC13CE" w:rsidRDefault="00CC13CE" w:rsidP="00282C1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CC13CE">
              <w:rPr>
                <w:rFonts w:ascii="Arial" w:hAnsi="Arial" w:cs="Arial"/>
                <w:sz w:val="20"/>
                <w:szCs w:val="20"/>
              </w:rPr>
              <w:t>Ensure Cloud and Infrastructure architecture enables secure, resilient and performant member-facing services.</w:t>
            </w:r>
          </w:p>
          <w:p w14:paraId="6A0E892F" w14:textId="22895F97" w:rsidR="00CC13CE" w:rsidRPr="00CC13CE" w:rsidRDefault="00CC13CE" w:rsidP="00282C1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CC13CE">
              <w:rPr>
                <w:rFonts w:ascii="Arial" w:hAnsi="Arial" w:cs="Arial"/>
                <w:sz w:val="20"/>
                <w:szCs w:val="20"/>
              </w:rPr>
              <w:t>Design infrastructure standards that support service availability, scalability and business continuity requirements.</w:t>
            </w:r>
          </w:p>
          <w:p w14:paraId="4AB1B59A" w14:textId="0035A7B8" w:rsidR="00CC13CE" w:rsidRPr="00CC13CE" w:rsidRDefault="00CC13CE" w:rsidP="00282C1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CC13CE">
              <w:rPr>
                <w:rFonts w:ascii="Arial" w:hAnsi="Arial" w:cs="Arial"/>
                <w:sz w:val="20"/>
                <w:szCs w:val="20"/>
              </w:rPr>
              <w:t>Ensure telephony and contact centre infrastructure architectures support reliable member engagement channels.</w:t>
            </w:r>
          </w:p>
          <w:p w14:paraId="1E90B382" w14:textId="26135A0E" w:rsidR="00CC13CE" w:rsidRPr="00CC13CE" w:rsidRDefault="00CC13CE" w:rsidP="00282C1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CC13CE">
              <w:rPr>
                <w:rFonts w:ascii="Arial" w:hAnsi="Arial" w:cs="Arial"/>
                <w:sz w:val="20"/>
                <w:szCs w:val="20"/>
              </w:rPr>
              <w:t>Promote architectural decisions that enhance service stability and reduce disruption risk to members.</w:t>
            </w:r>
          </w:p>
          <w:p w14:paraId="69608597" w14:textId="5E09E651" w:rsidR="005A250D" w:rsidRPr="00CC13CE" w:rsidRDefault="00CC13CE" w:rsidP="00016F1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CC13CE">
              <w:rPr>
                <w:rFonts w:ascii="Arial" w:hAnsi="Arial" w:cs="Arial"/>
                <w:sz w:val="20"/>
                <w:szCs w:val="20"/>
              </w:rPr>
              <w:t>Ensure infrastructure evolution supports digital capability growth and improved member experience outcomes.</w:t>
            </w:r>
          </w:p>
        </w:tc>
        <w:tc>
          <w:tcPr>
            <w:tcW w:w="5245" w:type="dxa"/>
          </w:tcPr>
          <w:p w14:paraId="355961E8" w14:textId="77777777" w:rsidR="001D5467" w:rsidRPr="00EB6546" w:rsidRDefault="001D5467" w:rsidP="001D5467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A403595" w14:textId="77777777" w:rsidR="001D5467" w:rsidRPr="00EB6546" w:rsidRDefault="001D5467" w:rsidP="001D5467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FC105EE" w14:textId="0ECF3397" w:rsidR="00BF23BE" w:rsidRPr="00BF23BE" w:rsidRDefault="00BF23BE" w:rsidP="00282C18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23BE">
              <w:rPr>
                <w:rFonts w:ascii="Arial" w:hAnsi="Arial" w:cs="Arial"/>
                <w:sz w:val="20"/>
                <w:szCs w:val="20"/>
              </w:rPr>
              <w:t>Infrastructure designs demonstrably aligned to resilience and availability standards.</w:t>
            </w:r>
          </w:p>
          <w:p w14:paraId="3B0D6C14" w14:textId="63375BA1" w:rsidR="00BF23BE" w:rsidRPr="00BF23BE" w:rsidRDefault="00BF23BE" w:rsidP="00282C18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23BE">
              <w:rPr>
                <w:rFonts w:ascii="Arial" w:hAnsi="Arial" w:cs="Arial"/>
                <w:sz w:val="20"/>
                <w:szCs w:val="20"/>
              </w:rPr>
              <w:t>Reduced risk of member-facing service disruption due to architectural weaknesses.</w:t>
            </w:r>
          </w:p>
          <w:p w14:paraId="0CF81555" w14:textId="45CBC0D0" w:rsidR="00BF23BE" w:rsidRPr="00BF23BE" w:rsidRDefault="00BF23BE" w:rsidP="00282C18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23BE">
              <w:rPr>
                <w:rFonts w:ascii="Arial" w:hAnsi="Arial" w:cs="Arial"/>
                <w:sz w:val="20"/>
                <w:szCs w:val="20"/>
              </w:rPr>
              <w:t>Positive stakeholder feedback from business and operational leaders on infrastructure enablement.</w:t>
            </w:r>
          </w:p>
          <w:p w14:paraId="24571E18" w14:textId="2CA1A98B" w:rsidR="00BF23BE" w:rsidRPr="00BF23BE" w:rsidRDefault="00BF23BE" w:rsidP="00282C18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23BE">
              <w:rPr>
                <w:rFonts w:ascii="Arial" w:hAnsi="Arial" w:cs="Arial"/>
                <w:sz w:val="20"/>
                <w:szCs w:val="20"/>
              </w:rPr>
              <w:t>Clear alignment between domain roadmap and member-facing service priorities.</w:t>
            </w:r>
          </w:p>
          <w:p w14:paraId="77DABDE8" w14:textId="549A07FC" w:rsidR="005A250D" w:rsidRPr="00BF23BE" w:rsidRDefault="00BF23BE" w:rsidP="00282C18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23BE">
              <w:rPr>
                <w:rFonts w:ascii="Arial" w:hAnsi="Arial" w:cs="Arial"/>
                <w:sz w:val="20"/>
                <w:szCs w:val="20"/>
              </w:rPr>
              <w:t>Architecture artefacts reflect defined availability, continuity and resilience requirements.</w:t>
            </w:r>
          </w:p>
        </w:tc>
      </w:tr>
      <w:tr w:rsidR="005A250D" w:rsidRPr="00EB6546" w14:paraId="4F890E7C" w14:textId="77777777" w:rsidTr="00862A8B">
        <w:trPr>
          <w:trHeight w:val="591"/>
        </w:trPr>
        <w:tc>
          <w:tcPr>
            <w:tcW w:w="4957" w:type="dxa"/>
          </w:tcPr>
          <w:p w14:paraId="2D2F675A" w14:textId="77777777" w:rsidR="005A250D" w:rsidRPr="00EB6546" w:rsidRDefault="005A250D" w:rsidP="005A250D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6546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31B68B88" w14:textId="6FCE9D4C" w:rsidR="00BF23BE" w:rsidRPr="00BF23BE" w:rsidRDefault="00BF23BE" w:rsidP="00282C18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BF23BE">
              <w:rPr>
                <w:rFonts w:ascii="Arial" w:eastAsia="Calibri" w:hAnsi="Arial" w:cs="Arial"/>
                <w:sz w:val="20"/>
                <w:szCs w:val="20"/>
              </w:rPr>
              <w:t>Act as the Cloud &amp; Infrastructure domain authority, providing clear architectural direction and expert guidance across delivery towers and programmes.</w:t>
            </w:r>
          </w:p>
          <w:p w14:paraId="43139E13" w14:textId="28F2C48D" w:rsidR="00BF23BE" w:rsidRPr="00BF23BE" w:rsidRDefault="00BF23BE" w:rsidP="00282C18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BF23BE">
              <w:rPr>
                <w:rFonts w:ascii="Arial" w:eastAsia="Calibri" w:hAnsi="Arial" w:cs="Arial"/>
                <w:sz w:val="20"/>
                <w:szCs w:val="20"/>
              </w:rPr>
              <w:t>Build trusted working relationships with Solution Architects, IT Operations, Security, Data and Integration Domain Architects to ensure coherent cross-domain outcomes.</w:t>
            </w:r>
          </w:p>
          <w:p w14:paraId="52AE2F5A" w14:textId="77777777" w:rsidR="00BF23BE" w:rsidRPr="00BF23BE" w:rsidRDefault="00BF23BE" w:rsidP="00282C18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BF23BE">
              <w:rPr>
                <w:rFonts w:ascii="Arial" w:eastAsia="Calibri" w:hAnsi="Arial" w:cs="Arial"/>
                <w:sz w:val="20"/>
                <w:szCs w:val="20"/>
              </w:rPr>
              <w:t>Provide constructive challenge where proposed designs deviate from agreed standards or introduce unnecessary complexity or risk.</w:t>
            </w:r>
          </w:p>
          <w:p w14:paraId="4967C473" w14:textId="29844740" w:rsidR="00BF23BE" w:rsidRPr="00BF23BE" w:rsidRDefault="00BF23BE" w:rsidP="00282C18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BF23BE">
              <w:rPr>
                <w:rFonts w:ascii="Arial" w:eastAsia="Calibri" w:hAnsi="Arial" w:cs="Arial"/>
                <w:sz w:val="20"/>
                <w:szCs w:val="20"/>
              </w:rPr>
              <w:t>Contribute to the continuous development of architectural capability within Architecture &amp; Engineering through knowledge sharing, mentoring and pattern reuse.</w:t>
            </w:r>
          </w:p>
          <w:p w14:paraId="2CE84A98" w14:textId="7CCE1DA7" w:rsidR="00BF23BE" w:rsidRPr="00BF23BE" w:rsidRDefault="00BF23BE" w:rsidP="00282C18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BF23BE">
              <w:rPr>
                <w:rFonts w:ascii="Arial" w:eastAsia="Calibri" w:hAnsi="Arial" w:cs="Arial"/>
                <w:sz w:val="20"/>
                <w:szCs w:val="20"/>
              </w:rPr>
              <w:t>Maintain up-to-date professional knowledge in cloud, infrastructure, networking and telephony technologies and practices.</w:t>
            </w:r>
          </w:p>
          <w:p w14:paraId="7F1CF228" w14:textId="68266DC7" w:rsidR="005A250D" w:rsidRPr="00BF23BE" w:rsidRDefault="00BF23BE" w:rsidP="00016F1C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BF23BE">
              <w:rPr>
                <w:rFonts w:ascii="Arial" w:eastAsia="Calibri" w:hAnsi="Arial" w:cs="Arial"/>
                <w:sz w:val="20"/>
                <w:szCs w:val="20"/>
              </w:rPr>
              <w:t>Take accountability for own continuous professional development and adherence to architectural governance processes.</w:t>
            </w:r>
          </w:p>
        </w:tc>
        <w:tc>
          <w:tcPr>
            <w:tcW w:w="5245" w:type="dxa"/>
          </w:tcPr>
          <w:p w14:paraId="313A75A4" w14:textId="6B9C1954" w:rsidR="00BF23BE" w:rsidRPr="00BF23BE" w:rsidRDefault="00BF23BE" w:rsidP="00282C18">
            <w:pPr>
              <w:pStyle w:val="ListParagraph"/>
              <w:numPr>
                <w:ilvl w:val="0"/>
                <w:numId w:val="6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23BE">
              <w:rPr>
                <w:rFonts w:ascii="Arial" w:hAnsi="Arial" w:cs="Arial"/>
                <w:sz w:val="20"/>
                <w:szCs w:val="20"/>
              </w:rPr>
              <w:t>Positive feedback from Solution Architects and domain peers on clarity and effectiveness of architectural guidance. Increased reuse of approved infrastructure and network patterns across initiatives.</w:t>
            </w:r>
          </w:p>
          <w:p w14:paraId="2ABFD192" w14:textId="41B193AA" w:rsidR="00BF23BE" w:rsidRPr="00BF23BE" w:rsidRDefault="00BF23BE" w:rsidP="00282C18">
            <w:pPr>
              <w:pStyle w:val="ListParagraph"/>
              <w:numPr>
                <w:ilvl w:val="0"/>
                <w:numId w:val="6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23BE">
              <w:rPr>
                <w:rFonts w:ascii="Arial" w:hAnsi="Arial" w:cs="Arial"/>
                <w:sz w:val="20"/>
                <w:szCs w:val="20"/>
              </w:rPr>
              <w:t>Evidence of early architectural engagement in delivery initiatives.</w:t>
            </w:r>
          </w:p>
          <w:p w14:paraId="1BD7A256" w14:textId="049D7853" w:rsidR="00BF23BE" w:rsidRPr="00BF23BE" w:rsidRDefault="00BF23BE" w:rsidP="00282C18">
            <w:pPr>
              <w:pStyle w:val="ListParagraph"/>
              <w:numPr>
                <w:ilvl w:val="0"/>
                <w:numId w:val="6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23BE">
              <w:rPr>
                <w:rFonts w:ascii="Arial" w:hAnsi="Arial" w:cs="Arial"/>
                <w:sz w:val="20"/>
                <w:szCs w:val="20"/>
              </w:rPr>
              <w:t>Reduction in design rework caused by late-stage infrastructure challenges.</w:t>
            </w:r>
          </w:p>
          <w:p w14:paraId="3A7B7DFB" w14:textId="48E81BCF" w:rsidR="00BF23BE" w:rsidRPr="00BF23BE" w:rsidRDefault="00BF23BE" w:rsidP="00282C18">
            <w:pPr>
              <w:pStyle w:val="ListParagraph"/>
              <w:numPr>
                <w:ilvl w:val="0"/>
                <w:numId w:val="6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23BE">
              <w:rPr>
                <w:rFonts w:ascii="Arial" w:hAnsi="Arial" w:cs="Arial"/>
                <w:sz w:val="20"/>
                <w:szCs w:val="20"/>
              </w:rPr>
              <w:t>Maintenance of relevant certifications and continuous professional development.</w:t>
            </w:r>
          </w:p>
          <w:p w14:paraId="2E9CDDA0" w14:textId="242DCA42" w:rsidR="00BF23BE" w:rsidRPr="00BF23BE" w:rsidRDefault="00BF23BE" w:rsidP="00282C18">
            <w:pPr>
              <w:pStyle w:val="ListParagraph"/>
              <w:numPr>
                <w:ilvl w:val="0"/>
                <w:numId w:val="6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23BE">
              <w:rPr>
                <w:rFonts w:ascii="Arial" w:hAnsi="Arial" w:cs="Arial"/>
                <w:sz w:val="20"/>
                <w:szCs w:val="20"/>
              </w:rPr>
              <w:t>Constructive participation in governance forums and architectural communities of practice.</w:t>
            </w:r>
          </w:p>
          <w:p w14:paraId="7D375A1D" w14:textId="4A0604B9" w:rsidR="005A250D" w:rsidRPr="00BF23BE" w:rsidRDefault="005A250D" w:rsidP="00BF23BE">
            <w:p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50D" w:rsidRPr="00EB6546" w14:paraId="2E79F5FF" w14:textId="77777777" w:rsidTr="00862A8B">
        <w:trPr>
          <w:trHeight w:val="591"/>
        </w:trPr>
        <w:tc>
          <w:tcPr>
            <w:tcW w:w="4957" w:type="dxa"/>
          </w:tcPr>
          <w:p w14:paraId="57FD7FF1" w14:textId="77777777" w:rsidR="005A250D" w:rsidRPr="00EB6546" w:rsidRDefault="005A250D" w:rsidP="005A250D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6546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4C872940" w14:textId="6B097BFA" w:rsidR="00BF23BE" w:rsidRPr="00BF23BE" w:rsidRDefault="00BF23BE" w:rsidP="00282C18">
            <w:pPr>
              <w:pStyle w:val="ListParagraph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F23BE">
              <w:rPr>
                <w:rFonts w:ascii="Arial" w:hAnsi="Arial" w:cs="Arial"/>
                <w:sz w:val="20"/>
                <w:szCs w:val="20"/>
              </w:rPr>
              <w:t>Own architectural controls within the Cloud &amp; Infrastructure domain to ensure solutions are secure, resilient and aligned to regulatory expectations.</w:t>
            </w:r>
          </w:p>
          <w:p w14:paraId="78465AF5" w14:textId="7402064B" w:rsidR="00BF23BE" w:rsidRPr="00BF23BE" w:rsidRDefault="00BF23BE" w:rsidP="00282C18">
            <w:pPr>
              <w:pStyle w:val="ListParagraph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F23BE">
              <w:rPr>
                <w:rFonts w:ascii="Arial" w:hAnsi="Arial" w:cs="Arial"/>
                <w:sz w:val="20"/>
                <w:szCs w:val="20"/>
              </w:rPr>
              <w:t>Define and govern infrastructure, network and telephony standards that reduce risk exposure across availability, security, performance and scalability.</w:t>
            </w:r>
          </w:p>
          <w:p w14:paraId="3E1C599F" w14:textId="7DB568EF" w:rsidR="00BF23BE" w:rsidRPr="00BF23BE" w:rsidRDefault="00BF23BE" w:rsidP="00282C18">
            <w:pPr>
              <w:pStyle w:val="ListParagraph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F23BE">
              <w:rPr>
                <w:rFonts w:ascii="Arial" w:hAnsi="Arial" w:cs="Arial"/>
                <w:sz w:val="20"/>
                <w:szCs w:val="20"/>
              </w:rPr>
              <w:t>Ensure alignment of domain architecture to Microsoft Well-Architected Framework (WAF) principles and agreed security standards.</w:t>
            </w:r>
          </w:p>
          <w:p w14:paraId="60A702E6" w14:textId="5C1A08BC" w:rsidR="00BF23BE" w:rsidRPr="00BF23BE" w:rsidRDefault="00BF23BE" w:rsidP="00282C18">
            <w:pPr>
              <w:pStyle w:val="ListParagraph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F23BE">
              <w:rPr>
                <w:rFonts w:ascii="Arial" w:hAnsi="Arial" w:cs="Arial"/>
                <w:sz w:val="20"/>
                <w:szCs w:val="20"/>
              </w:rPr>
              <w:t xml:space="preserve">Provide architectural assurance at governance checkpoints to prevent the </w:t>
            </w:r>
            <w:r w:rsidRPr="00BF23BE">
              <w:rPr>
                <w:rFonts w:ascii="Arial" w:hAnsi="Arial" w:cs="Arial"/>
                <w:sz w:val="20"/>
                <w:szCs w:val="20"/>
              </w:rPr>
              <w:lastRenderedPageBreak/>
              <w:t>introduction of unmanaged technical, security or resilience risks.</w:t>
            </w:r>
          </w:p>
          <w:p w14:paraId="20BDAADB" w14:textId="77777777" w:rsidR="00BF23BE" w:rsidRDefault="00BF23BE" w:rsidP="00282C18">
            <w:pPr>
              <w:pStyle w:val="ListParagraph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F23BE">
              <w:rPr>
                <w:rFonts w:ascii="Arial" w:hAnsi="Arial" w:cs="Arial"/>
                <w:sz w:val="20"/>
                <w:szCs w:val="20"/>
              </w:rPr>
              <w:t>Collaborate with the Security Domain Architect to ensure secure-by-design infrastructure and network patterns.</w:t>
            </w:r>
          </w:p>
          <w:p w14:paraId="31E0F15A" w14:textId="0EDBC914" w:rsidR="00BF23BE" w:rsidRPr="00BF23BE" w:rsidRDefault="00BF23BE" w:rsidP="00282C18">
            <w:pPr>
              <w:pStyle w:val="ListParagraph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F23BE">
              <w:rPr>
                <w:rFonts w:ascii="Arial" w:hAnsi="Arial" w:cs="Arial"/>
                <w:sz w:val="20"/>
                <w:szCs w:val="20"/>
              </w:rPr>
              <w:t>Identify architectural risks arising from non-conformance, technical debt or platform complexity and escalate appropriately.</w:t>
            </w:r>
          </w:p>
          <w:p w14:paraId="1D97D96C" w14:textId="53C25F6F" w:rsidR="00BF23BE" w:rsidRPr="00BF23BE" w:rsidRDefault="00BF23BE" w:rsidP="00282C18">
            <w:pPr>
              <w:pStyle w:val="ListParagraph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F23BE">
              <w:rPr>
                <w:rFonts w:ascii="Arial" w:hAnsi="Arial" w:cs="Arial"/>
                <w:sz w:val="20"/>
                <w:szCs w:val="20"/>
              </w:rPr>
              <w:t>Ensure infrastructure and connectivity designs support business continuity and disaster recovery requirements.</w:t>
            </w:r>
          </w:p>
          <w:p w14:paraId="172D9AAC" w14:textId="2D6666EC" w:rsidR="005A250D" w:rsidRPr="00EB6546" w:rsidRDefault="005A250D" w:rsidP="00282C1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EB6546">
              <w:rPr>
                <w:rFonts w:ascii="Arial" w:hAnsi="Arial" w:cs="Arial"/>
                <w:sz w:val="20"/>
                <w:szCs w:val="20"/>
              </w:rPr>
              <w:t>data protection and IT security.</w:t>
            </w:r>
          </w:p>
        </w:tc>
        <w:tc>
          <w:tcPr>
            <w:tcW w:w="5245" w:type="dxa"/>
          </w:tcPr>
          <w:p w14:paraId="02AEF585" w14:textId="77777777" w:rsidR="001D5467" w:rsidRPr="00EB6546" w:rsidRDefault="001D5467" w:rsidP="001D5467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F6494D5" w14:textId="77777777" w:rsidR="001D5467" w:rsidRPr="00EB6546" w:rsidRDefault="001D5467" w:rsidP="001D5467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5A838ED" w14:textId="77777777" w:rsidR="00BF23BE" w:rsidRPr="00BF23BE" w:rsidRDefault="00BF23BE" w:rsidP="00282C18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BF23BE">
              <w:rPr>
                <w:rFonts w:ascii="Arial" w:eastAsia="Calibri" w:hAnsi="Arial" w:cs="Arial"/>
                <w:sz w:val="20"/>
                <w:szCs w:val="20"/>
              </w:rPr>
              <w:t>% of infrastructure designs compliant with approved domain standards.</w:t>
            </w:r>
          </w:p>
          <w:p w14:paraId="619CC020" w14:textId="77777777" w:rsidR="00BF23BE" w:rsidRPr="00BF23BE" w:rsidRDefault="00BF23BE" w:rsidP="00282C18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BF23BE">
              <w:rPr>
                <w:rFonts w:ascii="Arial" w:eastAsia="Calibri" w:hAnsi="Arial" w:cs="Arial"/>
                <w:sz w:val="20"/>
                <w:szCs w:val="20"/>
              </w:rPr>
              <w:t>Reduction in risk findings linked to infrastructure or network architectural weaknesses.</w:t>
            </w:r>
          </w:p>
          <w:p w14:paraId="55837845" w14:textId="77777777" w:rsidR="00BF23BE" w:rsidRPr="00BF23BE" w:rsidRDefault="00BF23BE" w:rsidP="00282C18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BF23BE">
              <w:rPr>
                <w:rFonts w:ascii="Arial" w:eastAsia="Calibri" w:hAnsi="Arial" w:cs="Arial"/>
                <w:sz w:val="20"/>
                <w:szCs w:val="20"/>
              </w:rPr>
              <w:t>Clear documentation of architectural risks and mitigation strategies within governance artefacts.</w:t>
            </w:r>
          </w:p>
          <w:p w14:paraId="2FA9D771" w14:textId="77777777" w:rsidR="00BF23BE" w:rsidRPr="00BF23BE" w:rsidRDefault="00BF23BE" w:rsidP="00282C18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BF23BE">
              <w:rPr>
                <w:rFonts w:ascii="Arial" w:eastAsia="Calibri" w:hAnsi="Arial" w:cs="Arial"/>
                <w:sz w:val="20"/>
                <w:szCs w:val="20"/>
              </w:rPr>
              <w:t>Evidence of alignment between Cloud &amp; Infrastructure standards and Security domain controls.</w:t>
            </w:r>
          </w:p>
          <w:p w14:paraId="21BAE4DE" w14:textId="77777777" w:rsidR="00BF23BE" w:rsidRPr="00BF23BE" w:rsidRDefault="00BF23BE" w:rsidP="00282C18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BF23BE">
              <w:rPr>
                <w:rFonts w:ascii="Arial" w:eastAsia="Calibri" w:hAnsi="Arial" w:cs="Arial"/>
                <w:sz w:val="20"/>
                <w:szCs w:val="20"/>
              </w:rPr>
              <w:t>Reduction in legacy or unsupported infrastructure patterns introducing systemic risk.</w:t>
            </w:r>
          </w:p>
          <w:p w14:paraId="19EAD1D2" w14:textId="77777777" w:rsidR="00BF23BE" w:rsidRPr="00BF23BE" w:rsidRDefault="00BF23BE" w:rsidP="00282C18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BF23BE">
              <w:rPr>
                <w:rFonts w:ascii="Arial" w:eastAsia="Calibri" w:hAnsi="Arial" w:cs="Arial"/>
                <w:sz w:val="20"/>
                <w:szCs w:val="20"/>
              </w:rPr>
              <w:t>Timely escalation of architectural risks impacting enterprise stability.</w:t>
            </w:r>
          </w:p>
          <w:p w14:paraId="7225C816" w14:textId="2F4A1B05" w:rsidR="005A250D" w:rsidRPr="00EB6546" w:rsidRDefault="005A250D" w:rsidP="00486247">
            <w:pPr>
              <w:pStyle w:val="ListParagraph"/>
              <w:ind w:left="31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A97FA0" w14:textId="77777777" w:rsidR="00096A3B" w:rsidRDefault="00096A3B"/>
    <w:tbl>
      <w:tblPr>
        <w:tblStyle w:val="TableGrid"/>
        <w:tblW w:w="10236" w:type="dxa"/>
        <w:tblInd w:w="-743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36"/>
      </w:tblGrid>
      <w:tr w:rsidR="009E22D0" w:rsidRPr="00EB6546" w14:paraId="6BD999F7" w14:textId="77777777" w:rsidTr="00BF23BE">
        <w:trPr>
          <w:trHeight w:val="456"/>
        </w:trPr>
        <w:tc>
          <w:tcPr>
            <w:tcW w:w="1023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76C7BE" w14:textId="77777777" w:rsidR="00BB5A20" w:rsidRPr="00EB6546" w:rsidRDefault="009E22D0" w:rsidP="001F40B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6546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EB6546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EB6546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EB6546" w14:paraId="1C00CE6E" w14:textId="77777777" w:rsidTr="005A250D">
        <w:trPr>
          <w:trHeight w:val="693"/>
        </w:trPr>
        <w:tc>
          <w:tcPr>
            <w:tcW w:w="10236" w:type="dxa"/>
          </w:tcPr>
          <w:p w14:paraId="71566F82" w14:textId="27729739" w:rsidR="00B823F2" w:rsidRPr="00BF23BE" w:rsidRDefault="00C43D9D" w:rsidP="00BF23BE">
            <w:pPr>
              <w:rPr>
                <w:rFonts w:ascii="Arial" w:hAnsi="Arial" w:cs="Arial"/>
                <w:sz w:val="20"/>
                <w:szCs w:val="20"/>
              </w:rPr>
            </w:pPr>
            <w:r w:rsidRPr="00C43D9D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2201EF3" wp14:editId="6EBD668B">
                  <wp:extent cx="6372225" cy="5166648"/>
                  <wp:effectExtent l="0" t="0" r="0" b="0"/>
                  <wp:docPr id="2054818721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1786D1-D3C6-49B4-BD43-A6C9810D4C5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81872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8497" cy="5171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FC23B5" w14:textId="77777777" w:rsidR="0025020C" w:rsidRDefault="0025020C"/>
    <w:p w14:paraId="430886FB" w14:textId="77777777" w:rsidR="00B41DA6" w:rsidRPr="00EB6546" w:rsidRDefault="00B41DA6"/>
    <w:tbl>
      <w:tblPr>
        <w:tblStyle w:val="TableGrid"/>
        <w:tblW w:w="9952" w:type="dxa"/>
        <w:tblInd w:w="-743" w:type="dxa"/>
        <w:tblLook w:val="04A0" w:firstRow="1" w:lastRow="0" w:firstColumn="1" w:lastColumn="0" w:noHBand="0" w:noVBand="1"/>
      </w:tblPr>
      <w:tblGrid>
        <w:gridCol w:w="9952"/>
      </w:tblGrid>
      <w:tr w:rsidR="005542D1" w:rsidRPr="00EB6546" w14:paraId="2518B036" w14:textId="77777777" w:rsidTr="00862A8B">
        <w:trPr>
          <w:trHeight w:val="589"/>
        </w:trPr>
        <w:tc>
          <w:tcPr>
            <w:tcW w:w="9952" w:type="dxa"/>
            <w:shd w:val="clear" w:color="auto" w:fill="D9D9D9" w:themeFill="background1" w:themeFillShade="D9"/>
          </w:tcPr>
          <w:p w14:paraId="14F2B71D" w14:textId="77777777" w:rsidR="005542D1" w:rsidRPr="00EB6546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679DA4" w14:textId="77777777" w:rsidR="005542D1" w:rsidRPr="00EB6546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6546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  <w:p w14:paraId="281768B5" w14:textId="77777777" w:rsidR="009618C0" w:rsidRPr="00EB6546" w:rsidRDefault="009618C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42D1" w:rsidRPr="00EB6546" w14:paraId="74162C6D" w14:textId="77777777" w:rsidTr="0007024E">
        <w:trPr>
          <w:trHeight w:val="693"/>
        </w:trPr>
        <w:tc>
          <w:tcPr>
            <w:tcW w:w="9952" w:type="dxa"/>
          </w:tcPr>
          <w:p w14:paraId="07A7043C" w14:textId="7BF7C50E" w:rsidR="0091670C" w:rsidRPr="00862A8B" w:rsidRDefault="00146327" w:rsidP="00146327">
            <w:pPr>
              <w:pStyle w:val="ListParagraph"/>
              <w:numPr>
                <w:ilvl w:val="0"/>
                <w:numId w:val="4"/>
              </w:numPr>
              <w:tabs>
                <w:tab w:val="left" w:pos="327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46327">
              <w:rPr>
                <w:rFonts w:ascii="Arial" w:hAnsi="Arial" w:cs="Arial"/>
                <w:sz w:val="20"/>
                <w:szCs w:val="20"/>
              </w:rPr>
              <w:t>Represent</w:t>
            </w:r>
            <w:r w:rsidR="0091670C" w:rsidRPr="00862A8B">
              <w:rPr>
                <w:rFonts w:ascii="Arial" w:hAnsi="Arial" w:cs="Arial"/>
                <w:sz w:val="20"/>
                <w:szCs w:val="20"/>
              </w:rPr>
              <w:t xml:space="preserve"> Technical Design Authority (TDA), representing the Cloud &amp; Infrastructure domain.</w:t>
            </w:r>
          </w:p>
          <w:p w14:paraId="2D5A1A8F" w14:textId="6B99621C" w:rsidR="0091670C" w:rsidRPr="0091670C" w:rsidRDefault="0091670C" w:rsidP="00282C18">
            <w:pPr>
              <w:pStyle w:val="ListParagraph"/>
              <w:numPr>
                <w:ilvl w:val="0"/>
                <w:numId w:val="4"/>
              </w:numPr>
              <w:tabs>
                <w:tab w:val="left" w:pos="327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1670C">
              <w:rPr>
                <w:rFonts w:ascii="Arial" w:hAnsi="Arial" w:cs="Arial"/>
                <w:sz w:val="20"/>
                <w:szCs w:val="20"/>
              </w:rPr>
              <w:t>Provide architectural assurance and formal sign-off for solution designs impacting cloud, infrastructure, networking and telephony platforms.</w:t>
            </w:r>
          </w:p>
          <w:p w14:paraId="74B9B298" w14:textId="3811B005" w:rsidR="0091670C" w:rsidRPr="0091670C" w:rsidRDefault="0091670C" w:rsidP="00282C18">
            <w:pPr>
              <w:pStyle w:val="ListParagraph"/>
              <w:numPr>
                <w:ilvl w:val="0"/>
                <w:numId w:val="4"/>
              </w:numPr>
              <w:tabs>
                <w:tab w:val="left" w:pos="327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1670C">
              <w:rPr>
                <w:rFonts w:ascii="Arial" w:hAnsi="Arial" w:cs="Arial"/>
                <w:sz w:val="20"/>
                <w:szCs w:val="20"/>
              </w:rPr>
              <w:t>Ensure adherence to approved domain standards, guardrails and target state architecture.</w:t>
            </w:r>
          </w:p>
          <w:p w14:paraId="13055879" w14:textId="7A0E1741" w:rsidR="0091670C" w:rsidRPr="0091670C" w:rsidRDefault="0091670C" w:rsidP="00282C18">
            <w:pPr>
              <w:pStyle w:val="ListParagraph"/>
              <w:numPr>
                <w:ilvl w:val="0"/>
                <w:numId w:val="4"/>
              </w:numPr>
              <w:tabs>
                <w:tab w:val="left" w:pos="327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1670C">
              <w:rPr>
                <w:rFonts w:ascii="Arial" w:hAnsi="Arial" w:cs="Arial"/>
                <w:sz w:val="20"/>
                <w:szCs w:val="20"/>
              </w:rPr>
              <w:t>Escalate material non-conformance or architectural risk where domain integrity is compromised.</w:t>
            </w:r>
          </w:p>
          <w:p w14:paraId="4F1FD91F" w14:textId="6C104F6F" w:rsidR="0091670C" w:rsidRPr="0091670C" w:rsidRDefault="0091670C" w:rsidP="00282C18">
            <w:pPr>
              <w:pStyle w:val="ListParagraph"/>
              <w:numPr>
                <w:ilvl w:val="0"/>
                <w:numId w:val="4"/>
              </w:numPr>
              <w:tabs>
                <w:tab w:val="left" w:pos="327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1670C">
              <w:rPr>
                <w:rFonts w:ascii="Arial" w:hAnsi="Arial" w:cs="Arial"/>
                <w:sz w:val="20"/>
                <w:szCs w:val="20"/>
              </w:rPr>
              <w:t>Provide architectural advisory input to CAB for changes materially impacting infrastructure or connectivity.</w:t>
            </w:r>
          </w:p>
          <w:p w14:paraId="1CAB5630" w14:textId="55EC2688" w:rsidR="00AB2DCE" w:rsidRPr="0091670C" w:rsidRDefault="0091670C" w:rsidP="00016F1C">
            <w:pPr>
              <w:pStyle w:val="ListParagraph"/>
              <w:numPr>
                <w:ilvl w:val="0"/>
                <w:numId w:val="4"/>
              </w:numPr>
              <w:tabs>
                <w:tab w:val="left" w:pos="327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1670C">
              <w:rPr>
                <w:rFonts w:ascii="Arial" w:hAnsi="Arial" w:cs="Arial"/>
                <w:sz w:val="20"/>
                <w:szCs w:val="20"/>
              </w:rPr>
              <w:t>Collaborate with peer Domain Architects to ensure coherent cross-domain architecture and regulatory alignment.</w:t>
            </w:r>
          </w:p>
        </w:tc>
      </w:tr>
    </w:tbl>
    <w:p w14:paraId="11B34C42" w14:textId="77777777" w:rsidR="005542D1" w:rsidRPr="00EB6546" w:rsidRDefault="005542D1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9952" w:type="dxa"/>
        <w:tblInd w:w="-743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008"/>
        <w:gridCol w:w="3944"/>
      </w:tblGrid>
      <w:tr w:rsidR="0056188D" w:rsidRPr="00EB6546" w14:paraId="28B44CBE" w14:textId="77777777" w:rsidTr="0007024E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268140CB" w14:textId="77777777" w:rsidR="0056188D" w:rsidRPr="00EB6546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9F63CB" w14:textId="77777777" w:rsidR="0056188D" w:rsidRPr="00EB6546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6546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  <w:p w14:paraId="48C4377D" w14:textId="77777777" w:rsidR="0025020C" w:rsidRPr="00EB6546" w:rsidRDefault="0025020C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44" w:type="dxa"/>
            <w:shd w:val="clear" w:color="auto" w:fill="D9D9D9" w:themeFill="background1" w:themeFillShade="D9"/>
          </w:tcPr>
          <w:p w14:paraId="2A91A0F6" w14:textId="77777777" w:rsidR="0056188D" w:rsidRPr="00EB6546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D8BC15" w14:textId="77777777" w:rsidR="0056188D" w:rsidRPr="00EB6546" w:rsidRDefault="00C91CFA" w:rsidP="0031455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6546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56188D" w:rsidRPr="00EB6546" w14:paraId="08A1C865" w14:textId="77777777" w:rsidTr="0007024E">
        <w:trPr>
          <w:trHeight w:val="211"/>
        </w:trPr>
        <w:tc>
          <w:tcPr>
            <w:tcW w:w="6008" w:type="dxa"/>
          </w:tcPr>
          <w:p w14:paraId="27F0EA12" w14:textId="77777777" w:rsidR="0056188D" w:rsidRPr="00EB6546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6546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3944" w:type="dxa"/>
          </w:tcPr>
          <w:p w14:paraId="60506E3B" w14:textId="785EEBB4" w:rsidR="00314558" w:rsidRPr="00EB6546" w:rsidRDefault="0031455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6546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2623E9" w:rsidRPr="00EB6546"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</w:tr>
      <w:tr w:rsidR="004D18E8" w:rsidRPr="00EB6546" w14:paraId="2478A998" w14:textId="77777777" w:rsidTr="0007024E">
        <w:trPr>
          <w:trHeight w:val="211"/>
        </w:trPr>
        <w:tc>
          <w:tcPr>
            <w:tcW w:w="6008" w:type="dxa"/>
          </w:tcPr>
          <w:p w14:paraId="419180F1" w14:textId="77777777" w:rsidR="004D18E8" w:rsidRPr="00EB6546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6546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 w:rsidRPr="00EB6546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3944" w:type="dxa"/>
          </w:tcPr>
          <w:p w14:paraId="060C6483" w14:textId="77777777" w:rsidR="004D18E8" w:rsidRPr="00EB6546" w:rsidRDefault="00314558" w:rsidP="00B75089">
            <w:pPr>
              <w:spacing w:after="0" w:line="240" w:lineRule="auto"/>
              <w:rPr>
                <w:rFonts w:ascii="Arial" w:hAnsi="Arial" w:cs="Arial"/>
              </w:rPr>
            </w:pPr>
            <w:r w:rsidRPr="00EB6546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07024E" w:rsidRPr="00EB6546"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</w:tr>
      <w:tr w:rsidR="004D18E8" w:rsidRPr="00EB6546" w14:paraId="0CB7025B" w14:textId="77777777" w:rsidTr="0007024E">
        <w:trPr>
          <w:trHeight w:val="211"/>
        </w:trPr>
        <w:tc>
          <w:tcPr>
            <w:tcW w:w="6008" w:type="dxa"/>
          </w:tcPr>
          <w:p w14:paraId="440EE1F1" w14:textId="77777777" w:rsidR="004D18E8" w:rsidRPr="00EB6546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6546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3944" w:type="dxa"/>
          </w:tcPr>
          <w:p w14:paraId="09FEBD76" w14:textId="66EB3587" w:rsidR="004D18E8" w:rsidRPr="00EB6546" w:rsidRDefault="00314558" w:rsidP="00B75089">
            <w:pPr>
              <w:spacing w:after="0" w:line="240" w:lineRule="auto"/>
              <w:rPr>
                <w:rFonts w:ascii="Arial" w:hAnsi="Arial" w:cs="Arial"/>
              </w:rPr>
            </w:pPr>
            <w:r w:rsidRPr="00EB6546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2623E9" w:rsidRPr="00EB6546"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</w:tr>
      <w:tr w:rsidR="004D18E8" w:rsidRPr="00EB6546" w14:paraId="045F9BFE" w14:textId="77777777" w:rsidTr="0007024E">
        <w:trPr>
          <w:trHeight w:val="211"/>
        </w:trPr>
        <w:tc>
          <w:tcPr>
            <w:tcW w:w="6008" w:type="dxa"/>
          </w:tcPr>
          <w:p w14:paraId="63E21028" w14:textId="77777777" w:rsidR="004D18E8" w:rsidRPr="00EB6546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6546">
              <w:rPr>
                <w:rFonts w:ascii="Arial" w:hAnsi="Arial" w:cs="Arial"/>
                <w:sz w:val="20"/>
                <w:szCs w:val="20"/>
              </w:rPr>
              <w:t>Collaborating</w:t>
            </w:r>
            <w:r w:rsidR="00711E46" w:rsidRPr="00EB6546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3944" w:type="dxa"/>
          </w:tcPr>
          <w:p w14:paraId="7292CA16" w14:textId="2E94F00B" w:rsidR="004D18E8" w:rsidRPr="00EB6546" w:rsidRDefault="003A4E6F" w:rsidP="003A4E6F">
            <w:pPr>
              <w:spacing w:after="0" w:line="240" w:lineRule="auto"/>
              <w:rPr>
                <w:rFonts w:ascii="Arial" w:hAnsi="Arial" w:cs="Arial"/>
              </w:rPr>
            </w:pPr>
            <w:r w:rsidRPr="00EB6546">
              <w:rPr>
                <w:rFonts w:ascii="Arial" w:hAnsi="Arial" w:cs="Arial"/>
                <w:sz w:val="20"/>
                <w:szCs w:val="20"/>
              </w:rPr>
              <w:t>L</w:t>
            </w:r>
            <w:r w:rsidR="00314558" w:rsidRPr="00EB6546">
              <w:rPr>
                <w:rFonts w:ascii="Arial" w:hAnsi="Arial" w:cs="Arial"/>
                <w:sz w:val="20"/>
                <w:szCs w:val="20"/>
              </w:rPr>
              <w:t xml:space="preserve">eading </w:t>
            </w:r>
            <w:r w:rsidR="005A250D" w:rsidRPr="00EB6546"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</w:tr>
      <w:tr w:rsidR="0007024E" w:rsidRPr="00EB6546" w14:paraId="75E8914D" w14:textId="77777777" w:rsidTr="00CF264B">
        <w:trPr>
          <w:trHeight w:val="211"/>
        </w:trPr>
        <w:tc>
          <w:tcPr>
            <w:tcW w:w="6008" w:type="dxa"/>
          </w:tcPr>
          <w:p w14:paraId="62F00543" w14:textId="77777777" w:rsidR="0007024E" w:rsidRPr="00EB6546" w:rsidRDefault="0007024E" w:rsidP="000A70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6546">
              <w:rPr>
                <w:rFonts w:ascii="Arial" w:hAnsi="Arial" w:cs="Arial"/>
                <w:sz w:val="20"/>
                <w:szCs w:val="20"/>
              </w:rPr>
              <w:t xml:space="preserve">Commercial and Risk Thinking </w:t>
            </w:r>
          </w:p>
        </w:tc>
        <w:tc>
          <w:tcPr>
            <w:tcW w:w="3944" w:type="dxa"/>
          </w:tcPr>
          <w:p w14:paraId="2D06B8B4" w14:textId="77777777" w:rsidR="0007024E" w:rsidRPr="00EB6546" w:rsidRDefault="0007024E" w:rsidP="000A706F">
            <w:pPr>
              <w:spacing w:after="0" w:line="240" w:lineRule="auto"/>
              <w:rPr>
                <w:rFonts w:ascii="Arial" w:hAnsi="Arial" w:cs="Arial"/>
              </w:rPr>
            </w:pPr>
            <w:r w:rsidRPr="00EB6546"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  <w:tr w:rsidR="0007024E" w:rsidRPr="00EB6546" w14:paraId="59FB45AB" w14:textId="77777777" w:rsidTr="00CF264B">
        <w:trPr>
          <w:trHeight w:val="211"/>
        </w:trPr>
        <w:tc>
          <w:tcPr>
            <w:tcW w:w="6008" w:type="dxa"/>
          </w:tcPr>
          <w:p w14:paraId="761B34D9" w14:textId="77777777" w:rsidR="0007024E" w:rsidRPr="00EB6546" w:rsidRDefault="0007024E" w:rsidP="000A70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6546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3944" w:type="dxa"/>
          </w:tcPr>
          <w:p w14:paraId="0CC76F08" w14:textId="48F822EC" w:rsidR="0007024E" w:rsidRPr="00EB6546" w:rsidRDefault="0007024E" w:rsidP="001E5630">
            <w:pPr>
              <w:spacing w:after="0" w:line="240" w:lineRule="auto"/>
              <w:rPr>
                <w:rFonts w:ascii="Arial" w:hAnsi="Arial" w:cs="Arial"/>
              </w:rPr>
            </w:pPr>
            <w:r w:rsidRPr="00EB6546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5A250D" w:rsidRPr="00EB6546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</w:tbl>
    <w:tbl>
      <w:tblPr>
        <w:tblStyle w:val="TableGrid1"/>
        <w:tblpPr w:leftFromText="180" w:rightFromText="180" w:vertAnchor="text" w:horzAnchor="page" w:tblpX="1125" w:tblpY="500"/>
        <w:tblW w:w="9918" w:type="dxa"/>
        <w:tblLook w:val="04A0" w:firstRow="1" w:lastRow="0" w:firstColumn="1" w:lastColumn="0" w:noHBand="0" w:noVBand="1"/>
      </w:tblPr>
      <w:tblGrid>
        <w:gridCol w:w="460"/>
        <w:gridCol w:w="2796"/>
        <w:gridCol w:w="3260"/>
        <w:gridCol w:w="3402"/>
      </w:tblGrid>
      <w:tr w:rsidR="00FF16B8" w:rsidRPr="00EB6546" w14:paraId="6D32E963" w14:textId="77777777" w:rsidTr="003F3804">
        <w:trPr>
          <w:trHeight w:val="695"/>
        </w:trPr>
        <w:tc>
          <w:tcPr>
            <w:tcW w:w="460" w:type="dxa"/>
            <w:shd w:val="clear" w:color="auto" w:fill="D9D9D9" w:themeFill="background1" w:themeFillShade="D9"/>
            <w:vAlign w:val="center"/>
          </w:tcPr>
          <w:p w14:paraId="17ACA111" w14:textId="77777777" w:rsidR="00E40AC5" w:rsidRPr="00EB6546" w:rsidRDefault="00E40AC5" w:rsidP="003F380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6" w:type="dxa"/>
            <w:shd w:val="clear" w:color="auto" w:fill="D9D9D9" w:themeFill="background1" w:themeFillShade="D9"/>
            <w:vAlign w:val="center"/>
          </w:tcPr>
          <w:p w14:paraId="54ABCAE3" w14:textId="77777777" w:rsidR="00E40AC5" w:rsidRPr="00EB6546" w:rsidRDefault="00E40AC5" w:rsidP="003F380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6546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5D934BC4" w14:textId="77777777" w:rsidR="00E40AC5" w:rsidRPr="00EB6546" w:rsidRDefault="00E40AC5" w:rsidP="003F380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6546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6CE8E38" w14:textId="77777777" w:rsidR="00E40AC5" w:rsidRPr="00EB6546" w:rsidRDefault="00E40AC5" w:rsidP="003F380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6546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F16B8" w:rsidRPr="00EB6546" w14:paraId="57FDEA70" w14:textId="77777777" w:rsidTr="00016F1C">
        <w:trPr>
          <w:cantSplit/>
          <w:trHeight w:val="558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55305C4C" w14:textId="77777777" w:rsidR="00E40AC5" w:rsidRPr="00EB6546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6546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796" w:type="dxa"/>
          </w:tcPr>
          <w:p w14:paraId="2F57A243" w14:textId="6B8E174F" w:rsidR="0091670C" w:rsidRPr="0091670C" w:rsidRDefault="0091670C" w:rsidP="0091670C">
            <w:pPr>
              <w:spacing w:before="40" w:after="0"/>
              <w:rPr>
                <w:rFonts w:ascii="Arial" w:hAnsi="Arial" w:cs="Arial"/>
                <w:sz w:val="20"/>
                <w:szCs w:val="20"/>
              </w:rPr>
            </w:pPr>
            <w:r w:rsidRPr="0091670C">
              <w:rPr>
                <w:rFonts w:ascii="Arial" w:hAnsi="Arial" w:cs="Arial"/>
                <w:sz w:val="20"/>
                <w:szCs w:val="20"/>
              </w:rPr>
              <w:t>Deep expertise in Microsoft Azure architecture, including landing zone design, identity integration, networking, resilience and cost governance.</w:t>
            </w:r>
          </w:p>
          <w:p w14:paraId="4FF8BC61" w14:textId="0300AD10" w:rsidR="0091670C" w:rsidRPr="0091670C" w:rsidRDefault="0091670C" w:rsidP="0091670C">
            <w:pPr>
              <w:spacing w:before="40" w:after="0"/>
              <w:rPr>
                <w:rFonts w:ascii="Arial" w:hAnsi="Arial" w:cs="Arial"/>
                <w:sz w:val="20"/>
                <w:szCs w:val="20"/>
              </w:rPr>
            </w:pPr>
            <w:r w:rsidRPr="0091670C">
              <w:rPr>
                <w:rFonts w:ascii="Arial" w:hAnsi="Arial" w:cs="Arial"/>
                <w:sz w:val="20"/>
                <w:szCs w:val="20"/>
              </w:rPr>
              <w:t>Strong understanding of Microsoft Well-Architected Framework (WAF) principles and their practical application.</w:t>
            </w:r>
          </w:p>
          <w:p w14:paraId="145FBF7D" w14:textId="768AD5BB" w:rsidR="0091670C" w:rsidRPr="0091670C" w:rsidRDefault="0091670C" w:rsidP="0091670C">
            <w:pPr>
              <w:spacing w:before="40" w:after="0"/>
              <w:rPr>
                <w:rFonts w:ascii="Arial" w:hAnsi="Arial" w:cs="Arial"/>
                <w:sz w:val="20"/>
                <w:szCs w:val="20"/>
              </w:rPr>
            </w:pPr>
            <w:r w:rsidRPr="0091670C">
              <w:rPr>
                <w:rFonts w:ascii="Arial" w:hAnsi="Arial" w:cs="Arial"/>
                <w:sz w:val="20"/>
                <w:szCs w:val="20"/>
              </w:rPr>
              <w:t>Experience designing hybrid infrastructure environments, including enterprise networking and SD-WAN architectures.</w:t>
            </w:r>
          </w:p>
          <w:p w14:paraId="3841E79E" w14:textId="5519EF27" w:rsidR="0091670C" w:rsidRPr="0091670C" w:rsidRDefault="0091670C" w:rsidP="0091670C">
            <w:pPr>
              <w:spacing w:before="40" w:after="0"/>
              <w:rPr>
                <w:rFonts w:ascii="Arial" w:hAnsi="Arial" w:cs="Arial"/>
                <w:sz w:val="20"/>
                <w:szCs w:val="20"/>
              </w:rPr>
            </w:pPr>
            <w:r w:rsidRPr="0091670C">
              <w:rPr>
                <w:rFonts w:ascii="Arial" w:hAnsi="Arial" w:cs="Arial"/>
                <w:sz w:val="20"/>
                <w:szCs w:val="20"/>
              </w:rPr>
              <w:lastRenderedPageBreak/>
              <w:t>Understanding of modern telephony and contact centre infrastructure platforms.</w:t>
            </w:r>
          </w:p>
          <w:p w14:paraId="535F5DA2" w14:textId="5DE3748A" w:rsidR="0091670C" w:rsidRPr="0091670C" w:rsidRDefault="0091670C" w:rsidP="0091670C">
            <w:pPr>
              <w:spacing w:before="40" w:after="0"/>
              <w:rPr>
                <w:rFonts w:ascii="Arial" w:hAnsi="Arial" w:cs="Arial"/>
                <w:sz w:val="20"/>
                <w:szCs w:val="20"/>
              </w:rPr>
            </w:pPr>
            <w:r w:rsidRPr="0091670C">
              <w:rPr>
                <w:rFonts w:ascii="Arial" w:hAnsi="Arial" w:cs="Arial"/>
                <w:sz w:val="20"/>
                <w:szCs w:val="20"/>
              </w:rPr>
              <w:t>Strong knowledge of infrastructure security controls including IAM, network segmentation, encryption and regulatory considerations.</w:t>
            </w:r>
          </w:p>
          <w:p w14:paraId="083F91CB" w14:textId="5DAD78FA" w:rsidR="00514187" w:rsidRPr="00EB6546" w:rsidRDefault="0091670C" w:rsidP="00016F1C">
            <w:pPr>
              <w:spacing w:before="40" w:after="0"/>
              <w:rPr>
                <w:rFonts w:ascii="Arial" w:hAnsi="Arial" w:cs="Arial"/>
                <w:sz w:val="20"/>
                <w:szCs w:val="20"/>
              </w:rPr>
            </w:pPr>
            <w:r w:rsidRPr="0091670C">
              <w:rPr>
                <w:rFonts w:ascii="Arial" w:hAnsi="Arial" w:cs="Arial"/>
                <w:sz w:val="20"/>
                <w:szCs w:val="20"/>
              </w:rPr>
              <w:t>Clear understanding of federated architecture operating models and domain go</w:t>
            </w:r>
            <w:r w:rsidR="00016F1C">
              <w:rPr>
                <w:rFonts w:ascii="Arial" w:hAnsi="Arial" w:cs="Arial"/>
                <w:sz w:val="20"/>
                <w:szCs w:val="20"/>
              </w:rPr>
              <w:t>v</w:t>
            </w:r>
            <w:r w:rsidRPr="0091670C">
              <w:rPr>
                <w:rFonts w:ascii="Arial" w:hAnsi="Arial" w:cs="Arial"/>
                <w:sz w:val="20"/>
                <w:szCs w:val="20"/>
              </w:rPr>
              <w:t>ernance structures.</w:t>
            </w:r>
          </w:p>
        </w:tc>
        <w:tc>
          <w:tcPr>
            <w:tcW w:w="3260" w:type="dxa"/>
          </w:tcPr>
          <w:p w14:paraId="31803A03" w14:textId="1B5B906D" w:rsidR="0091670C" w:rsidRPr="0091670C" w:rsidRDefault="0091670C" w:rsidP="009167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1670C">
              <w:rPr>
                <w:rFonts w:ascii="Arial" w:hAnsi="Arial" w:cs="Arial"/>
                <w:sz w:val="20"/>
                <w:szCs w:val="20"/>
              </w:rPr>
              <w:lastRenderedPageBreak/>
              <w:t>Ability to define domain strategy and translate enterprise direction into actionable architectural standards.</w:t>
            </w:r>
          </w:p>
          <w:p w14:paraId="32D0300B" w14:textId="22C05B53" w:rsidR="0091670C" w:rsidRPr="0091670C" w:rsidRDefault="0091670C" w:rsidP="009167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1670C">
              <w:rPr>
                <w:rFonts w:ascii="Arial" w:hAnsi="Arial" w:cs="Arial"/>
                <w:sz w:val="20"/>
                <w:szCs w:val="20"/>
              </w:rPr>
              <w:t>Strong architectural assurance capability, including constructive challenge and design validation.</w:t>
            </w:r>
          </w:p>
          <w:p w14:paraId="7FE5CE43" w14:textId="487C3BB2" w:rsidR="0091670C" w:rsidRPr="0091670C" w:rsidRDefault="0091670C" w:rsidP="009167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1670C">
              <w:rPr>
                <w:rFonts w:ascii="Arial" w:hAnsi="Arial" w:cs="Arial"/>
                <w:sz w:val="20"/>
                <w:szCs w:val="20"/>
              </w:rPr>
              <w:t>Ability to operate at both strategic (target state / roadmap) and detailed design levels.</w:t>
            </w:r>
          </w:p>
          <w:p w14:paraId="25C8B780" w14:textId="610AEC83" w:rsidR="0091670C" w:rsidRPr="0091670C" w:rsidRDefault="0091670C" w:rsidP="009167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1670C">
              <w:rPr>
                <w:rFonts w:ascii="Arial" w:hAnsi="Arial" w:cs="Arial"/>
                <w:sz w:val="20"/>
                <w:szCs w:val="20"/>
              </w:rPr>
              <w:t>Strong stakeholder engagement skills across Architecture, IT Operations and delivery teams.</w:t>
            </w:r>
          </w:p>
          <w:p w14:paraId="2034806B" w14:textId="77777777" w:rsidR="0091670C" w:rsidRPr="0091670C" w:rsidRDefault="0091670C" w:rsidP="009167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1670C">
              <w:rPr>
                <w:rFonts w:ascii="Arial" w:hAnsi="Arial" w:cs="Arial"/>
                <w:sz w:val="20"/>
                <w:szCs w:val="20"/>
              </w:rPr>
              <w:t>Ability to influence without direct line authority.</w:t>
            </w:r>
          </w:p>
          <w:p w14:paraId="192F5753" w14:textId="77777777" w:rsidR="0091670C" w:rsidRPr="0091670C" w:rsidRDefault="0091670C" w:rsidP="009167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1E48C64" w14:textId="7B20370D" w:rsidR="0091670C" w:rsidRPr="0091670C" w:rsidRDefault="0091670C" w:rsidP="009167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1670C">
              <w:rPr>
                <w:rFonts w:ascii="Arial" w:hAnsi="Arial" w:cs="Arial"/>
                <w:sz w:val="20"/>
                <w:szCs w:val="20"/>
              </w:rPr>
              <w:t>Structured documentation and blueprint development capability.</w:t>
            </w:r>
          </w:p>
          <w:p w14:paraId="44CE8E91" w14:textId="47EABA56" w:rsidR="00E40AC5" w:rsidRPr="0091670C" w:rsidRDefault="0091670C" w:rsidP="009167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1670C">
              <w:rPr>
                <w:rFonts w:ascii="Arial" w:hAnsi="Arial" w:cs="Arial"/>
                <w:sz w:val="20"/>
                <w:szCs w:val="20"/>
              </w:rPr>
              <w:t>Ability to identify and articulate architectural risk clearly and objectively.</w:t>
            </w:r>
          </w:p>
        </w:tc>
        <w:tc>
          <w:tcPr>
            <w:tcW w:w="3402" w:type="dxa"/>
          </w:tcPr>
          <w:p w14:paraId="5B0A487A" w14:textId="104CE4D9" w:rsidR="0091670C" w:rsidRPr="0091670C" w:rsidRDefault="0091670C" w:rsidP="0091670C">
            <w:pPr>
              <w:spacing w:before="120" w:after="180"/>
              <w:rPr>
                <w:rFonts w:ascii="Arial" w:hAnsi="Arial" w:cs="Arial"/>
                <w:sz w:val="20"/>
                <w:szCs w:val="20"/>
              </w:rPr>
            </w:pPr>
            <w:r w:rsidRPr="0091670C">
              <w:rPr>
                <w:rFonts w:ascii="Arial" w:hAnsi="Arial" w:cs="Arial"/>
                <w:sz w:val="20"/>
                <w:szCs w:val="20"/>
              </w:rPr>
              <w:lastRenderedPageBreak/>
              <w:t>Proven experience as a Cloud, Infrastructure or Platform Architect within a complex enterprise environment.</w:t>
            </w:r>
          </w:p>
          <w:p w14:paraId="5E35DDBD" w14:textId="70F4184B" w:rsidR="0091670C" w:rsidRPr="0091670C" w:rsidRDefault="0091670C" w:rsidP="0091670C">
            <w:pPr>
              <w:spacing w:before="120" w:after="180"/>
              <w:rPr>
                <w:rFonts w:ascii="Arial" w:hAnsi="Arial" w:cs="Arial"/>
                <w:sz w:val="20"/>
                <w:szCs w:val="20"/>
              </w:rPr>
            </w:pPr>
            <w:r w:rsidRPr="0091670C">
              <w:rPr>
                <w:rFonts w:ascii="Arial" w:hAnsi="Arial" w:cs="Arial"/>
                <w:sz w:val="20"/>
                <w:szCs w:val="20"/>
              </w:rPr>
              <w:t>Experience owning domain standards and providing architectural governance within delivery lifecycles.</w:t>
            </w:r>
          </w:p>
          <w:p w14:paraId="36B42E4B" w14:textId="5F54EFAD" w:rsidR="0091670C" w:rsidRPr="0091670C" w:rsidRDefault="0091670C" w:rsidP="0091670C">
            <w:pPr>
              <w:spacing w:before="120" w:after="180"/>
              <w:rPr>
                <w:rFonts w:ascii="Arial" w:hAnsi="Arial" w:cs="Arial"/>
                <w:sz w:val="20"/>
                <w:szCs w:val="20"/>
              </w:rPr>
            </w:pPr>
            <w:r w:rsidRPr="0091670C">
              <w:rPr>
                <w:rFonts w:ascii="Arial" w:hAnsi="Arial" w:cs="Arial"/>
                <w:sz w:val="20"/>
                <w:szCs w:val="20"/>
              </w:rPr>
              <w:t>Experience supporting Solution Architects within a federated architecture model.</w:t>
            </w:r>
          </w:p>
          <w:p w14:paraId="4DA944B4" w14:textId="587BB88E" w:rsidR="0091670C" w:rsidRPr="0091670C" w:rsidRDefault="0091670C" w:rsidP="0091670C">
            <w:pPr>
              <w:spacing w:before="120" w:after="180"/>
              <w:rPr>
                <w:rFonts w:ascii="Arial" w:hAnsi="Arial" w:cs="Arial"/>
                <w:sz w:val="20"/>
                <w:szCs w:val="20"/>
              </w:rPr>
            </w:pPr>
            <w:r w:rsidRPr="0091670C">
              <w:rPr>
                <w:rFonts w:ascii="Arial" w:hAnsi="Arial" w:cs="Arial"/>
                <w:sz w:val="20"/>
                <w:szCs w:val="20"/>
              </w:rPr>
              <w:t>Experience operating within regulated or risk-managed environments.</w:t>
            </w:r>
          </w:p>
          <w:p w14:paraId="1989D6B0" w14:textId="71BD9012" w:rsidR="00E40AC5" w:rsidRPr="00EB6546" w:rsidRDefault="0091670C" w:rsidP="0091670C">
            <w:pPr>
              <w:spacing w:before="120" w:beforeAutospacing="0" w:after="180" w:afterAutospacing="0"/>
              <w:rPr>
                <w:rFonts w:ascii="Arial" w:hAnsi="Arial" w:cs="Arial"/>
                <w:sz w:val="20"/>
                <w:szCs w:val="20"/>
              </w:rPr>
            </w:pPr>
            <w:r w:rsidRPr="0091670C">
              <w:rPr>
                <w:rFonts w:ascii="Arial" w:hAnsi="Arial" w:cs="Arial"/>
                <w:sz w:val="20"/>
                <w:szCs w:val="20"/>
              </w:rPr>
              <w:t xml:space="preserve">Experience aligning infrastructure architecture to operational </w:t>
            </w:r>
            <w:r w:rsidRPr="0091670C">
              <w:rPr>
                <w:rFonts w:ascii="Arial" w:hAnsi="Arial" w:cs="Arial"/>
                <w:sz w:val="20"/>
                <w:szCs w:val="20"/>
              </w:rPr>
              <w:lastRenderedPageBreak/>
              <w:t>capability without assuming operational ownership.</w:t>
            </w:r>
          </w:p>
        </w:tc>
      </w:tr>
      <w:tr w:rsidR="00FF16B8" w:rsidRPr="00B75089" w14:paraId="2E601578" w14:textId="77777777" w:rsidTr="001F40B8">
        <w:trPr>
          <w:cantSplit/>
          <w:trHeight w:val="1691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4317B5FC" w14:textId="77777777" w:rsidR="00E40AC5" w:rsidRPr="00EB6546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6546">
              <w:rPr>
                <w:rFonts w:ascii="Arial" w:hAnsi="Arial" w:cs="Arial"/>
                <w:b/>
                <w:sz w:val="20"/>
                <w:szCs w:val="20"/>
              </w:rPr>
              <w:lastRenderedPageBreak/>
              <w:t>Desirable</w:t>
            </w:r>
          </w:p>
        </w:tc>
        <w:tc>
          <w:tcPr>
            <w:tcW w:w="2796" w:type="dxa"/>
          </w:tcPr>
          <w:p w14:paraId="0D4CA45D" w14:textId="77777777" w:rsidR="0091670C" w:rsidRPr="0091670C" w:rsidRDefault="0091670C" w:rsidP="0091670C">
            <w:pPr>
              <w:spacing w:before="40" w:after="0"/>
              <w:rPr>
                <w:rFonts w:ascii="Arial" w:hAnsi="Arial" w:cs="Arial"/>
                <w:sz w:val="20"/>
                <w:szCs w:val="20"/>
              </w:rPr>
            </w:pPr>
            <w:r w:rsidRPr="0091670C">
              <w:rPr>
                <w:rFonts w:ascii="Arial" w:hAnsi="Arial" w:cs="Arial"/>
                <w:sz w:val="20"/>
                <w:szCs w:val="20"/>
              </w:rPr>
              <w:t>Microsoft Azure certifications (e.g. Azure Solutions Architect Expert or equivalent).</w:t>
            </w:r>
          </w:p>
          <w:p w14:paraId="096E4DE7" w14:textId="4CE2F83B" w:rsidR="00B94CF6" w:rsidRPr="00EB6546" w:rsidRDefault="0091670C" w:rsidP="0091670C">
            <w:pPr>
              <w:spacing w:before="4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1670C">
              <w:rPr>
                <w:rFonts w:ascii="Arial" w:hAnsi="Arial" w:cs="Arial"/>
                <w:sz w:val="20"/>
                <w:szCs w:val="20"/>
              </w:rPr>
              <w:t>Familiarity with architecture frameworks such as TOGAF.</w:t>
            </w:r>
          </w:p>
        </w:tc>
        <w:tc>
          <w:tcPr>
            <w:tcW w:w="3260" w:type="dxa"/>
          </w:tcPr>
          <w:p w14:paraId="4E261EDA" w14:textId="1C82F7FD" w:rsidR="00140BEE" w:rsidRPr="00EB6546" w:rsidRDefault="0091670C" w:rsidP="00961F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1670C">
              <w:rPr>
                <w:rFonts w:ascii="Arial" w:hAnsi="Arial" w:cs="Arial"/>
                <w:sz w:val="20"/>
                <w:szCs w:val="20"/>
              </w:rPr>
              <w:t>Experience with EA modelling tools.</w:t>
            </w:r>
          </w:p>
        </w:tc>
        <w:tc>
          <w:tcPr>
            <w:tcW w:w="3402" w:type="dxa"/>
          </w:tcPr>
          <w:p w14:paraId="21BEC389" w14:textId="6B5C14E0" w:rsidR="00E40AC5" w:rsidRPr="0025020C" w:rsidRDefault="0091670C" w:rsidP="001F40B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1670C">
              <w:rPr>
                <w:rFonts w:ascii="Arial" w:hAnsi="Arial" w:cs="Arial"/>
                <w:sz w:val="20"/>
                <w:szCs w:val="20"/>
              </w:rPr>
              <w:t>Experience within insurance or similarly regulated sectors.</w:t>
            </w:r>
          </w:p>
        </w:tc>
      </w:tr>
    </w:tbl>
    <w:p w14:paraId="37246700" w14:textId="77777777" w:rsidR="0056188D" w:rsidRPr="00B75089" w:rsidRDefault="0056188D" w:rsidP="00B75089">
      <w:pPr>
        <w:spacing w:line="240" w:lineRule="auto"/>
        <w:rPr>
          <w:rFonts w:ascii="Arial" w:hAnsi="Arial" w:cs="Arial"/>
        </w:rPr>
      </w:pPr>
    </w:p>
    <w:sectPr w:rsidR="0056188D" w:rsidRPr="00B75089" w:rsidSect="00267B8D">
      <w:headerReference w:type="default" r:id="rId12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A806F" w14:textId="77777777" w:rsidR="00A322D7" w:rsidRDefault="00A322D7" w:rsidP="009E22D0">
      <w:pPr>
        <w:spacing w:after="0" w:line="240" w:lineRule="auto"/>
      </w:pPr>
      <w:r>
        <w:separator/>
      </w:r>
    </w:p>
  </w:endnote>
  <w:endnote w:type="continuationSeparator" w:id="0">
    <w:p w14:paraId="04CFCE4B" w14:textId="77777777" w:rsidR="00A322D7" w:rsidRDefault="00A322D7" w:rsidP="009E22D0">
      <w:pPr>
        <w:spacing w:after="0" w:line="240" w:lineRule="auto"/>
      </w:pPr>
      <w:r>
        <w:continuationSeparator/>
      </w:r>
    </w:p>
  </w:endnote>
  <w:endnote w:type="continuationNotice" w:id="1">
    <w:p w14:paraId="63EA8230" w14:textId="77777777" w:rsidR="00A322D7" w:rsidRDefault="00A322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3D4BC" w14:textId="77777777" w:rsidR="00A322D7" w:rsidRDefault="00A322D7" w:rsidP="009E22D0">
      <w:pPr>
        <w:spacing w:after="0" w:line="240" w:lineRule="auto"/>
      </w:pPr>
      <w:r>
        <w:separator/>
      </w:r>
    </w:p>
  </w:footnote>
  <w:footnote w:type="continuationSeparator" w:id="0">
    <w:p w14:paraId="2B5EEE91" w14:textId="77777777" w:rsidR="00A322D7" w:rsidRDefault="00A322D7" w:rsidP="009E22D0">
      <w:pPr>
        <w:spacing w:after="0" w:line="240" w:lineRule="auto"/>
      </w:pPr>
      <w:r>
        <w:continuationSeparator/>
      </w:r>
    </w:p>
  </w:footnote>
  <w:footnote w:type="continuationNotice" w:id="1">
    <w:p w14:paraId="49806E52" w14:textId="77777777" w:rsidR="00A322D7" w:rsidRDefault="00A322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F1A2E" w14:textId="77777777"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36FFB941" wp14:editId="0B72D572">
          <wp:extent cx="1435505" cy="362465"/>
          <wp:effectExtent l="0" t="0" r="0" b="0"/>
          <wp:docPr id="2" name="Picture 2">
            <a:extLst xmlns:a="http://schemas.openxmlformats.org/drawingml/2006/main">
              <a:ext uri="{FF2B5EF4-FFF2-40B4-BE49-F238E27FC236}">
                <a16:creationId xmlns:a16="http://schemas.microsoft.com/office/drawing/2014/main" id="{631EC95E-EB84-4C9C-A0FA-6E04D4E91E4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2537"/>
    <w:multiLevelType w:val="hybridMultilevel"/>
    <w:tmpl w:val="E27C4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E0BAB"/>
    <w:multiLevelType w:val="hybridMultilevel"/>
    <w:tmpl w:val="94A61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C50FB"/>
    <w:multiLevelType w:val="multilevel"/>
    <w:tmpl w:val="E17E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4D4DA3"/>
    <w:multiLevelType w:val="hybridMultilevel"/>
    <w:tmpl w:val="63FC4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30B7D"/>
    <w:multiLevelType w:val="hybridMultilevel"/>
    <w:tmpl w:val="B538B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454D4"/>
    <w:multiLevelType w:val="hybridMultilevel"/>
    <w:tmpl w:val="0566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F1180"/>
    <w:multiLevelType w:val="hybridMultilevel"/>
    <w:tmpl w:val="530A0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350FF"/>
    <w:multiLevelType w:val="hybridMultilevel"/>
    <w:tmpl w:val="49FEFDF0"/>
    <w:lvl w:ilvl="0" w:tplc="685E575A">
      <w:start w:val="1"/>
      <w:numFmt w:val="bullet"/>
      <w:lvlText w:val=""/>
      <w:lvlJc w:val="left"/>
      <w:pPr>
        <w:tabs>
          <w:tab w:val="num" w:pos="896"/>
        </w:tabs>
        <w:ind w:left="8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8" w15:restartNumberingAfterBreak="0">
    <w:nsid w:val="64CD5B35"/>
    <w:multiLevelType w:val="hybridMultilevel"/>
    <w:tmpl w:val="6DB4E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635684"/>
    <w:multiLevelType w:val="hybridMultilevel"/>
    <w:tmpl w:val="A4106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751212">
    <w:abstractNumId w:val="7"/>
  </w:num>
  <w:num w:numId="2" w16cid:durableId="1473869627">
    <w:abstractNumId w:val="8"/>
  </w:num>
  <w:num w:numId="3" w16cid:durableId="1812363780">
    <w:abstractNumId w:val="4"/>
  </w:num>
  <w:num w:numId="4" w16cid:durableId="1886091975">
    <w:abstractNumId w:val="0"/>
  </w:num>
  <w:num w:numId="5" w16cid:durableId="2036728132">
    <w:abstractNumId w:val="5"/>
  </w:num>
  <w:num w:numId="6" w16cid:durableId="2087919996">
    <w:abstractNumId w:val="3"/>
  </w:num>
  <w:num w:numId="7" w16cid:durableId="3822289">
    <w:abstractNumId w:val="6"/>
  </w:num>
  <w:num w:numId="8" w16cid:durableId="467863123">
    <w:abstractNumId w:val="9"/>
  </w:num>
  <w:num w:numId="9" w16cid:durableId="553084874">
    <w:abstractNumId w:val="2"/>
  </w:num>
  <w:num w:numId="10" w16cid:durableId="64306997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16F1C"/>
    <w:rsid w:val="000203AC"/>
    <w:rsid w:val="000303C6"/>
    <w:rsid w:val="00036835"/>
    <w:rsid w:val="00047D3D"/>
    <w:rsid w:val="00051397"/>
    <w:rsid w:val="00055F36"/>
    <w:rsid w:val="00056CEB"/>
    <w:rsid w:val="00057365"/>
    <w:rsid w:val="0007024E"/>
    <w:rsid w:val="000731BB"/>
    <w:rsid w:val="00075502"/>
    <w:rsid w:val="00081AC5"/>
    <w:rsid w:val="00081FCF"/>
    <w:rsid w:val="00082F60"/>
    <w:rsid w:val="000945AA"/>
    <w:rsid w:val="00096A3B"/>
    <w:rsid w:val="000A706F"/>
    <w:rsid w:val="000B6537"/>
    <w:rsid w:val="000C6BA3"/>
    <w:rsid w:val="000D77A8"/>
    <w:rsid w:val="000E3B5E"/>
    <w:rsid w:val="000E4361"/>
    <w:rsid w:val="000F4DA0"/>
    <w:rsid w:val="000F613E"/>
    <w:rsid w:val="00103B99"/>
    <w:rsid w:val="00103D77"/>
    <w:rsid w:val="001062E6"/>
    <w:rsid w:val="00112DD3"/>
    <w:rsid w:val="0012369D"/>
    <w:rsid w:val="00130C59"/>
    <w:rsid w:val="00140BEE"/>
    <w:rsid w:val="0014622C"/>
    <w:rsid w:val="00146327"/>
    <w:rsid w:val="00147C2C"/>
    <w:rsid w:val="001556BF"/>
    <w:rsid w:val="001570E5"/>
    <w:rsid w:val="0017200E"/>
    <w:rsid w:val="00192AC6"/>
    <w:rsid w:val="00196974"/>
    <w:rsid w:val="001A1A12"/>
    <w:rsid w:val="001A7D2D"/>
    <w:rsid w:val="001C31FF"/>
    <w:rsid w:val="001C5EA3"/>
    <w:rsid w:val="001C7774"/>
    <w:rsid w:val="001D5467"/>
    <w:rsid w:val="001E49A7"/>
    <w:rsid w:val="001E5630"/>
    <w:rsid w:val="001E5C68"/>
    <w:rsid w:val="001F40B8"/>
    <w:rsid w:val="00202F61"/>
    <w:rsid w:val="00202F84"/>
    <w:rsid w:val="00216E45"/>
    <w:rsid w:val="00237E5F"/>
    <w:rsid w:val="0025020C"/>
    <w:rsid w:val="00254643"/>
    <w:rsid w:val="002568F7"/>
    <w:rsid w:val="002612EE"/>
    <w:rsid w:val="002623E9"/>
    <w:rsid w:val="00262B2C"/>
    <w:rsid w:val="00265BD9"/>
    <w:rsid w:val="00267B8D"/>
    <w:rsid w:val="00282C18"/>
    <w:rsid w:val="0028629F"/>
    <w:rsid w:val="00291C64"/>
    <w:rsid w:val="00293BCB"/>
    <w:rsid w:val="00294A05"/>
    <w:rsid w:val="002964D5"/>
    <w:rsid w:val="002A44A5"/>
    <w:rsid w:val="002A7016"/>
    <w:rsid w:val="002B1A35"/>
    <w:rsid w:val="002B4A2A"/>
    <w:rsid w:val="002B557F"/>
    <w:rsid w:val="002C20A9"/>
    <w:rsid w:val="002C2DB6"/>
    <w:rsid w:val="002D0155"/>
    <w:rsid w:val="002D128D"/>
    <w:rsid w:val="002D2BD6"/>
    <w:rsid w:val="002D306F"/>
    <w:rsid w:val="002D6C68"/>
    <w:rsid w:val="002D7339"/>
    <w:rsid w:val="00304168"/>
    <w:rsid w:val="003105F3"/>
    <w:rsid w:val="00314558"/>
    <w:rsid w:val="00316039"/>
    <w:rsid w:val="00324666"/>
    <w:rsid w:val="00333CE5"/>
    <w:rsid w:val="00354CEE"/>
    <w:rsid w:val="003610B8"/>
    <w:rsid w:val="0037013C"/>
    <w:rsid w:val="00375757"/>
    <w:rsid w:val="003A4E6F"/>
    <w:rsid w:val="003E49DF"/>
    <w:rsid w:val="003F1D67"/>
    <w:rsid w:val="003F3804"/>
    <w:rsid w:val="003F41B6"/>
    <w:rsid w:val="00417291"/>
    <w:rsid w:val="00423A90"/>
    <w:rsid w:val="004247F9"/>
    <w:rsid w:val="00430F65"/>
    <w:rsid w:val="004375AE"/>
    <w:rsid w:val="00445859"/>
    <w:rsid w:val="00447F9E"/>
    <w:rsid w:val="0045017F"/>
    <w:rsid w:val="00452BF0"/>
    <w:rsid w:val="004768A2"/>
    <w:rsid w:val="00483806"/>
    <w:rsid w:val="00486247"/>
    <w:rsid w:val="00490C6B"/>
    <w:rsid w:val="00492D5A"/>
    <w:rsid w:val="004946F4"/>
    <w:rsid w:val="004A6F4E"/>
    <w:rsid w:val="004B09E7"/>
    <w:rsid w:val="004B4B7E"/>
    <w:rsid w:val="004C0886"/>
    <w:rsid w:val="004D18E8"/>
    <w:rsid w:val="004D4040"/>
    <w:rsid w:val="004E1068"/>
    <w:rsid w:val="004E480E"/>
    <w:rsid w:val="004F6584"/>
    <w:rsid w:val="00502890"/>
    <w:rsid w:val="00505C45"/>
    <w:rsid w:val="005063D6"/>
    <w:rsid w:val="005070A7"/>
    <w:rsid w:val="00510E93"/>
    <w:rsid w:val="00514187"/>
    <w:rsid w:val="00525B17"/>
    <w:rsid w:val="00531B56"/>
    <w:rsid w:val="00546FCE"/>
    <w:rsid w:val="005529E6"/>
    <w:rsid w:val="005542D1"/>
    <w:rsid w:val="00554801"/>
    <w:rsid w:val="0056188D"/>
    <w:rsid w:val="005656CF"/>
    <w:rsid w:val="00575236"/>
    <w:rsid w:val="0058769A"/>
    <w:rsid w:val="00593989"/>
    <w:rsid w:val="00593D3D"/>
    <w:rsid w:val="005A250D"/>
    <w:rsid w:val="005C5422"/>
    <w:rsid w:val="005D17BE"/>
    <w:rsid w:val="005F3B90"/>
    <w:rsid w:val="005F415C"/>
    <w:rsid w:val="005F4EC8"/>
    <w:rsid w:val="005F5F32"/>
    <w:rsid w:val="00617CDD"/>
    <w:rsid w:val="00620583"/>
    <w:rsid w:val="006219B1"/>
    <w:rsid w:val="0062528C"/>
    <w:rsid w:val="00640F1C"/>
    <w:rsid w:val="0064701B"/>
    <w:rsid w:val="0066085C"/>
    <w:rsid w:val="00664DD9"/>
    <w:rsid w:val="00666EB3"/>
    <w:rsid w:val="006718B7"/>
    <w:rsid w:val="006926F5"/>
    <w:rsid w:val="006B08D6"/>
    <w:rsid w:val="006B47DD"/>
    <w:rsid w:val="006C2FAD"/>
    <w:rsid w:val="006C304F"/>
    <w:rsid w:val="006D13BD"/>
    <w:rsid w:val="006E5E52"/>
    <w:rsid w:val="006F207F"/>
    <w:rsid w:val="006F4DB7"/>
    <w:rsid w:val="006F7C69"/>
    <w:rsid w:val="007021AB"/>
    <w:rsid w:val="00711E46"/>
    <w:rsid w:val="00711F68"/>
    <w:rsid w:val="00717094"/>
    <w:rsid w:val="00726D09"/>
    <w:rsid w:val="00741C6E"/>
    <w:rsid w:val="0074377D"/>
    <w:rsid w:val="007448C4"/>
    <w:rsid w:val="00744FD5"/>
    <w:rsid w:val="007537E6"/>
    <w:rsid w:val="00756A91"/>
    <w:rsid w:val="00757C7C"/>
    <w:rsid w:val="00760F30"/>
    <w:rsid w:val="00774324"/>
    <w:rsid w:val="007808E8"/>
    <w:rsid w:val="00795EE9"/>
    <w:rsid w:val="007A0165"/>
    <w:rsid w:val="007B02FE"/>
    <w:rsid w:val="007C67B8"/>
    <w:rsid w:val="007C70F7"/>
    <w:rsid w:val="007D0646"/>
    <w:rsid w:val="007D0E5F"/>
    <w:rsid w:val="007D1CBF"/>
    <w:rsid w:val="007E7CA1"/>
    <w:rsid w:val="00803BB3"/>
    <w:rsid w:val="00804EC5"/>
    <w:rsid w:val="00807B91"/>
    <w:rsid w:val="00810178"/>
    <w:rsid w:val="00810C5F"/>
    <w:rsid w:val="00813AEB"/>
    <w:rsid w:val="00814837"/>
    <w:rsid w:val="0082147A"/>
    <w:rsid w:val="00822EF2"/>
    <w:rsid w:val="00834938"/>
    <w:rsid w:val="008403F1"/>
    <w:rsid w:val="00840A9A"/>
    <w:rsid w:val="00842C15"/>
    <w:rsid w:val="00853581"/>
    <w:rsid w:val="008548A5"/>
    <w:rsid w:val="0085526B"/>
    <w:rsid w:val="00855C76"/>
    <w:rsid w:val="00862A8B"/>
    <w:rsid w:val="00864DF3"/>
    <w:rsid w:val="0087795E"/>
    <w:rsid w:val="00890318"/>
    <w:rsid w:val="00892710"/>
    <w:rsid w:val="0089340D"/>
    <w:rsid w:val="00895B79"/>
    <w:rsid w:val="008975D3"/>
    <w:rsid w:val="008A078C"/>
    <w:rsid w:val="008A4EAC"/>
    <w:rsid w:val="008B4286"/>
    <w:rsid w:val="008C321A"/>
    <w:rsid w:val="008D4DF5"/>
    <w:rsid w:val="008D55D5"/>
    <w:rsid w:val="008D6CCE"/>
    <w:rsid w:val="008E2E71"/>
    <w:rsid w:val="008E5C38"/>
    <w:rsid w:val="008F143D"/>
    <w:rsid w:val="008F6A24"/>
    <w:rsid w:val="0091516D"/>
    <w:rsid w:val="009154DD"/>
    <w:rsid w:val="0091670C"/>
    <w:rsid w:val="0093218B"/>
    <w:rsid w:val="00945890"/>
    <w:rsid w:val="009618C0"/>
    <w:rsid w:val="00961FED"/>
    <w:rsid w:val="0096528C"/>
    <w:rsid w:val="00972D3A"/>
    <w:rsid w:val="00982DF0"/>
    <w:rsid w:val="00992767"/>
    <w:rsid w:val="009927A8"/>
    <w:rsid w:val="009B1BC3"/>
    <w:rsid w:val="009B46DB"/>
    <w:rsid w:val="009C18A7"/>
    <w:rsid w:val="009D0A8D"/>
    <w:rsid w:val="009D2427"/>
    <w:rsid w:val="009D4B31"/>
    <w:rsid w:val="009E22D0"/>
    <w:rsid w:val="009E4DB7"/>
    <w:rsid w:val="009E51E8"/>
    <w:rsid w:val="009F1A63"/>
    <w:rsid w:val="009F436C"/>
    <w:rsid w:val="009F5179"/>
    <w:rsid w:val="009F561B"/>
    <w:rsid w:val="00A00E30"/>
    <w:rsid w:val="00A04E36"/>
    <w:rsid w:val="00A0674F"/>
    <w:rsid w:val="00A1457D"/>
    <w:rsid w:val="00A221AC"/>
    <w:rsid w:val="00A242DB"/>
    <w:rsid w:val="00A322D7"/>
    <w:rsid w:val="00A32584"/>
    <w:rsid w:val="00A414A7"/>
    <w:rsid w:val="00A4414A"/>
    <w:rsid w:val="00A541FD"/>
    <w:rsid w:val="00A6174B"/>
    <w:rsid w:val="00A64A25"/>
    <w:rsid w:val="00A73E37"/>
    <w:rsid w:val="00A77D9A"/>
    <w:rsid w:val="00A856E8"/>
    <w:rsid w:val="00A9055D"/>
    <w:rsid w:val="00AA3619"/>
    <w:rsid w:val="00AB04F0"/>
    <w:rsid w:val="00AB2DCE"/>
    <w:rsid w:val="00B07B71"/>
    <w:rsid w:val="00B153F5"/>
    <w:rsid w:val="00B16DDA"/>
    <w:rsid w:val="00B32E27"/>
    <w:rsid w:val="00B369FC"/>
    <w:rsid w:val="00B41239"/>
    <w:rsid w:val="00B41556"/>
    <w:rsid w:val="00B41DA6"/>
    <w:rsid w:val="00B67491"/>
    <w:rsid w:val="00B72BCA"/>
    <w:rsid w:val="00B75089"/>
    <w:rsid w:val="00B823F2"/>
    <w:rsid w:val="00B85DEE"/>
    <w:rsid w:val="00B94CF6"/>
    <w:rsid w:val="00B95655"/>
    <w:rsid w:val="00B96D9E"/>
    <w:rsid w:val="00BB4876"/>
    <w:rsid w:val="00BB5135"/>
    <w:rsid w:val="00BB5A20"/>
    <w:rsid w:val="00BC3920"/>
    <w:rsid w:val="00BE2724"/>
    <w:rsid w:val="00BF23BE"/>
    <w:rsid w:val="00BF274E"/>
    <w:rsid w:val="00BF339D"/>
    <w:rsid w:val="00BF4F68"/>
    <w:rsid w:val="00C04CF4"/>
    <w:rsid w:val="00C074FD"/>
    <w:rsid w:val="00C20DE5"/>
    <w:rsid w:val="00C21A21"/>
    <w:rsid w:val="00C2202A"/>
    <w:rsid w:val="00C26C92"/>
    <w:rsid w:val="00C37CBB"/>
    <w:rsid w:val="00C37D10"/>
    <w:rsid w:val="00C43D9D"/>
    <w:rsid w:val="00C472CA"/>
    <w:rsid w:val="00C53AB3"/>
    <w:rsid w:val="00C65242"/>
    <w:rsid w:val="00C853C8"/>
    <w:rsid w:val="00C91CFA"/>
    <w:rsid w:val="00C92524"/>
    <w:rsid w:val="00CA5F29"/>
    <w:rsid w:val="00CA76C3"/>
    <w:rsid w:val="00CB08AE"/>
    <w:rsid w:val="00CB4DD8"/>
    <w:rsid w:val="00CB5B45"/>
    <w:rsid w:val="00CB71AA"/>
    <w:rsid w:val="00CC13CE"/>
    <w:rsid w:val="00CC668A"/>
    <w:rsid w:val="00CD247D"/>
    <w:rsid w:val="00CF264B"/>
    <w:rsid w:val="00CF3C73"/>
    <w:rsid w:val="00CF44CA"/>
    <w:rsid w:val="00CF6A26"/>
    <w:rsid w:val="00D16028"/>
    <w:rsid w:val="00D261F1"/>
    <w:rsid w:val="00D454FF"/>
    <w:rsid w:val="00D54596"/>
    <w:rsid w:val="00D70012"/>
    <w:rsid w:val="00D83BE3"/>
    <w:rsid w:val="00DB522C"/>
    <w:rsid w:val="00DC0C90"/>
    <w:rsid w:val="00DC410E"/>
    <w:rsid w:val="00DD01CB"/>
    <w:rsid w:val="00DE5B72"/>
    <w:rsid w:val="00DE623F"/>
    <w:rsid w:val="00DF2B35"/>
    <w:rsid w:val="00E01D64"/>
    <w:rsid w:val="00E15431"/>
    <w:rsid w:val="00E22A79"/>
    <w:rsid w:val="00E32451"/>
    <w:rsid w:val="00E32602"/>
    <w:rsid w:val="00E40AC5"/>
    <w:rsid w:val="00E4307F"/>
    <w:rsid w:val="00E51173"/>
    <w:rsid w:val="00E80DA9"/>
    <w:rsid w:val="00E830DA"/>
    <w:rsid w:val="00E83203"/>
    <w:rsid w:val="00E8439B"/>
    <w:rsid w:val="00E87468"/>
    <w:rsid w:val="00E93CC6"/>
    <w:rsid w:val="00E97235"/>
    <w:rsid w:val="00EA4B42"/>
    <w:rsid w:val="00EA59BE"/>
    <w:rsid w:val="00EB159F"/>
    <w:rsid w:val="00EB5A5F"/>
    <w:rsid w:val="00EB6546"/>
    <w:rsid w:val="00EC0182"/>
    <w:rsid w:val="00ED0484"/>
    <w:rsid w:val="00ED2567"/>
    <w:rsid w:val="00ED58B4"/>
    <w:rsid w:val="00ED5B3C"/>
    <w:rsid w:val="00EE41A1"/>
    <w:rsid w:val="00EE4C38"/>
    <w:rsid w:val="00EF1F5B"/>
    <w:rsid w:val="00EF20AA"/>
    <w:rsid w:val="00EF3B45"/>
    <w:rsid w:val="00EF79AB"/>
    <w:rsid w:val="00F00F91"/>
    <w:rsid w:val="00F02362"/>
    <w:rsid w:val="00F04D6E"/>
    <w:rsid w:val="00F07AEB"/>
    <w:rsid w:val="00F2284B"/>
    <w:rsid w:val="00F34E26"/>
    <w:rsid w:val="00F40A9E"/>
    <w:rsid w:val="00F40F40"/>
    <w:rsid w:val="00F45C8A"/>
    <w:rsid w:val="00F479CD"/>
    <w:rsid w:val="00F47E3A"/>
    <w:rsid w:val="00F5319A"/>
    <w:rsid w:val="00F63C2D"/>
    <w:rsid w:val="00F85B3E"/>
    <w:rsid w:val="00F85B72"/>
    <w:rsid w:val="00F9003C"/>
    <w:rsid w:val="00F90D3F"/>
    <w:rsid w:val="00F97A75"/>
    <w:rsid w:val="00FA49E1"/>
    <w:rsid w:val="00FA61B9"/>
    <w:rsid w:val="00FA7323"/>
    <w:rsid w:val="00FB4711"/>
    <w:rsid w:val="00FC2A3B"/>
    <w:rsid w:val="00FC78C7"/>
    <w:rsid w:val="00FE6D8B"/>
    <w:rsid w:val="00FF16B8"/>
    <w:rsid w:val="00FF1F0D"/>
    <w:rsid w:val="0A2419D3"/>
    <w:rsid w:val="0AFA2408"/>
    <w:rsid w:val="1E4FD61A"/>
    <w:rsid w:val="1F7BA760"/>
    <w:rsid w:val="23DAFB57"/>
    <w:rsid w:val="27BEE3A7"/>
    <w:rsid w:val="3A3669AD"/>
    <w:rsid w:val="4BFB599E"/>
    <w:rsid w:val="58AF8C60"/>
    <w:rsid w:val="60F46D05"/>
    <w:rsid w:val="7E17C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765AD6"/>
  <w15:docId w15:val="{81FC0BFA-34F3-496F-8CCB-FE3B89EF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PLBulletChar">
    <w:name w:val="DPLBullet Char"/>
    <w:link w:val="DPLBullet"/>
    <w:locked/>
    <w:rsid w:val="00430F65"/>
    <w:rPr>
      <w:rFonts w:ascii="Arial" w:hAnsi="Arial" w:cs="Arial"/>
      <w:sz w:val="22"/>
      <w:szCs w:val="22"/>
      <w:lang w:val="en-US"/>
    </w:rPr>
  </w:style>
  <w:style w:type="paragraph" w:customStyle="1" w:styleId="DPLBullet">
    <w:name w:val="DPLBullet"/>
    <w:basedOn w:val="Normal"/>
    <w:link w:val="DPLBulletChar"/>
    <w:qFormat/>
    <w:rsid w:val="00430F65"/>
    <w:pPr>
      <w:widowControl w:val="0"/>
      <w:tabs>
        <w:tab w:val="left" w:pos="362"/>
        <w:tab w:val="num" w:pos="896"/>
      </w:tabs>
      <w:autoSpaceDE w:val="0"/>
      <w:autoSpaceDN w:val="0"/>
      <w:adjustRightInd w:val="0"/>
      <w:spacing w:after="0" w:line="215" w:lineRule="exact"/>
      <w:ind w:left="896"/>
    </w:pPr>
    <w:rPr>
      <w:rFonts w:ascii="Arial" w:hAnsi="Arial" w:cs="Aria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823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23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23F2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3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3F2"/>
    <w:rPr>
      <w:rFonts w:ascii="Calibri" w:hAnsi="Calibri"/>
      <w:b/>
      <w:bCs/>
    </w:rPr>
  </w:style>
  <w:style w:type="paragraph" w:customStyle="1" w:styleId="paragraph">
    <w:name w:val="paragraph"/>
    <w:basedOn w:val="Normal"/>
    <w:rsid w:val="009F1A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9F1A63"/>
  </w:style>
  <w:style w:type="character" w:customStyle="1" w:styleId="eop">
    <w:name w:val="eop"/>
    <w:basedOn w:val="DefaultParagraphFont"/>
    <w:rsid w:val="009F1A63"/>
  </w:style>
  <w:style w:type="character" w:customStyle="1" w:styleId="spellingerror">
    <w:name w:val="spellingerror"/>
    <w:basedOn w:val="DefaultParagraphFont"/>
    <w:rsid w:val="009F1A63"/>
  </w:style>
  <w:style w:type="paragraph" w:styleId="Revision">
    <w:name w:val="Revision"/>
    <w:hidden/>
    <w:uiPriority w:val="99"/>
    <w:semiHidden/>
    <w:rsid w:val="00CB08AE"/>
    <w:rPr>
      <w:rFonts w:ascii="Calibri" w:hAnsi="Calibri"/>
      <w:sz w:val="22"/>
      <w:szCs w:val="22"/>
    </w:rPr>
  </w:style>
  <w:style w:type="character" w:styleId="Mention">
    <w:name w:val="Mention"/>
    <w:basedOn w:val="DefaultParagraphFont"/>
    <w:uiPriority w:val="99"/>
    <w:unhideWhenUsed/>
    <w:rsid w:val="00E9723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C3E34EF213D942B538BF35F78B4B30" ma:contentTypeVersion="4" ma:contentTypeDescription="Create a new document." ma:contentTypeScope="" ma:versionID="5909f202cd0278e6ad9ed981e6fe1cab">
  <xsd:schema xmlns:xsd="http://www.w3.org/2001/XMLSchema" xmlns:xs="http://www.w3.org/2001/XMLSchema" xmlns:p="http://schemas.microsoft.com/office/2006/metadata/properties" xmlns:ns2="6be30a24-97ed-4cba-9a9b-4fe0cfc05173" targetNamespace="http://schemas.microsoft.com/office/2006/metadata/properties" ma:root="true" ma:fieldsID="58b0b0579e28cdb15b9f5a3981496594" ns2:_="">
    <xsd:import namespace="6be30a24-97ed-4cba-9a9b-4fe0cfc051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30a24-97ed-4cba-9a9b-4fe0cfc051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Props1.xml><?xml version="1.0" encoding="utf-8"?>
<ds:datastoreItem xmlns:ds="http://schemas.openxmlformats.org/officeDocument/2006/customXml" ds:itemID="{6EDB40EC-3965-4FF6-977C-0889760F27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F2ED01-9598-4838-A874-ABAA5CAF4D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2BB896-3D3F-4ED4-A0E2-DB11E6EEC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e30a24-97ed-4cba-9a9b-4fe0cfc051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8D3CE6-07D1-40A8-95CC-C9C095B1229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1852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12385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Woods, Nadine</dc:creator>
  <cp:keywords/>
  <dc:description>MPS Internal Only</dc:description>
  <cp:lastModifiedBy>Matt Southwood</cp:lastModifiedBy>
  <cp:revision>5</cp:revision>
  <dcterms:created xsi:type="dcterms:W3CDTF">2026-03-03T11:16:00Z</dcterms:created>
  <dcterms:modified xsi:type="dcterms:W3CDTF">2026-03-04T08:43:00Z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97c5c749-7175-4d60-9a61-62ed7e5b40fd</vt:lpwstr>
  </property>
  <property fmtid="{D5CDD505-2E9C-101B-9397-08002B2CF9AE}" pid="3" name="bjSaver">
    <vt:lpwstr>rKHqsfmuDsEhlvG4DgyZ1F5SxSt0okTF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  <property fmtid="{D5CDD505-2E9C-101B-9397-08002B2CF9AE}" pid="8" name="ContentTypeId">
    <vt:lpwstr>0x010100CDC3E34EF213D942B538BF35F78B4B30</vt:lpwstr>
  </property>
  <property fmtid="{D5CDD505-2E9C-101B-9397-08002B2CF9AE}" pid="9" name="MediaServiceImageTags">
    <vt:lpwstr/>
  </property>
  <property fmtid="{D5CDD505-2E9C-101B-9397-08002B2CF9AE}" pid="10" name="MSIP_Label_401a61c9-4983-4ada-8b3f-be98d11e98cc_Enabled">
    <vt:lpwstr>true</vt:lpwstr>
  </property>
  <property fmtid="{D5CDD505-2E9C-101B-9397-08002B2CF9AE}" pid="11" name="MSIP_Label_401a61c9-4983-4ada-8b3f-be98d11e98cc_SetDate">
    <vt:lpwstr>2026-02-25T10:10:11Z</vt:lpwstr>
  </property>
  <property fmtid="{D5CDD505-2E9C-101B-9397-08002B2CF9AE}" pid="12" name="MSIP_Label_401a61c9-4983-4ada-8b3f-be98d11e98cc_Method">
    <vt:lpwstr>Privileged</vt:lpwstr>
  </property>
  <property fmtid="{D5CDD505-2E9C-101B-9397-08002B2CF9AE}" pid="13" name="MSIP_Label_401a61c9-4983-4ada-8b3f-be98d11e98cc_Name">
    <vt:lpwstr>Internal</vt:lpwstr>
  </property>
  <property fmtid="{D5CDD505-2E9C-101B-9397-08002B2CF9AE}" pid="14" name="MSIP_Label_401a61c9-4983-4ada-8b3f-be98d11e98cc_SiteId">
    <vt:lpwstr>60e0ab8b-8c8d-4eef-b9c2-f9cb65535c28</vt:lpwstr>
  </property>
  <property fmtid="{D5CDD505-2E9C-101B-9397-08002B2CF9AE}" pid="15" name="MSIP_Label_401a61c9-4983-4ada-8b3f-be98d11e98cc_ActionId">
    <vt:lpwstr>866a58d6-b695-4d4c-b25e-1aa9317ed8bc</vt:lpwstr>
  </property>
  <property fmtid="{D5CDD505-2E9C-101B-9397-08002B2CF9AE}" pid="16" name="MSIP_Label_401a61c9-4983-4ada-8b3f-be98d11e98cc_ContentBits">
    <vt:lpwstr>0</vt:lpwstr>
  </property>
  <property fmtid="{D5CDD505-2E9C-101B-9397-08002B2CF9AE}" pid="17" name="MSIP_Label_401a61c9-4983-4ada-8b3f-be98d11e98cc_Tag">
    <vt:lpwstr>10, 0, 1, 2</vt:lpwstr>
  </property>
</Properties>
</file>