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4677"/>
      </w:tblGrid>
      <w:tr w:rsidR="00F5319A" w:rsidRPr="00B75089" w14:paraId="5249AE23" w14:textId="77777777" w:rsidTr="00C22881">
        <w:trPr>
          <w:trHeight w:val="3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135F9CF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268" w:type="dxa"/>
            <w:vAlign w:val="center"/>
          </w:tcPr>
          <w:p w14:paraId="7EBD4799" w14:textId="784B698D" w:rsidR="00052D4B" w:rsidRPr="00B75089" w:rsidRDefault="00537B4C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Media Executive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E70AAC6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677" w:type="dxa"/>
            <w:vAlign w:val="center"/>
          </w:tcPr>
          <w:p w14:paraId="035440E1" w14:textId="734B2A1D" w:rsidR="00F5319A" w:rsidRPr="00B75089" w:rsidRDefault="000E4155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</w:t>
            </w:r>
            <w:r w:rsidR="00A97F5B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F5319A" w:rsidRPr="00B75089" w14:paraId="660F8448" w14:textId="77777777" w:rsidTr="00F56A49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FAA499C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268" w:type="dxa"/>
            <w:vAlign w:val="center"/>
          </w:tcPr>
          <w:p w14:paraId="72D6CECB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5C83BF5" w14:textId="77777777" w:rsidR="00F5319A" w:rsidRPr="00B75089" w:rsidRDefault="006219B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5DB0E35E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226CD018" w14:textId="77777777" w:rsidTr="00715510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7C52B703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268" w:type="dxa"/>
            <w:vMerge w:val="restart"/>
            <w:vAlign w:val="center"/>
          </w:tcPr>
          <w:p w14:paraId="0C43EDC5" w14:textId="77777777" w:rsid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250565D3" w14:textId="77777777" w:rsidR="00A97F5B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201F86" w14:textId="001D472E" w:rsidR="00A97F5B" w:rsidRP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6649A4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677" w:type="dxa"/>
            <w:vAlign w:val="center"/>
          </w:tcPr>
          <w:p w14:paraId="41242358" w14:textId="668042D8" w:rsidR="006B7B37" w:rsidRPr="00B75089" w:rsidRDefault="00537B4C" w:rsidP="00715510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37B4C">
              <w:rPr>
                <w:rFonts w:ascii="Arial" w:hAnsi="Arial" w:cs="Arial"/>
                <w:sz w:val="20"/>
                <w:szCs w:val="20"/>
              </w:rPr>
              <w:t>esponsible for the day-to-day management of MPS</w:t>
            </w:r>
            <w:r>
              <w:rPr>
                <w:rFonts w:ascii="Arial" w:hAnsi="Arial" w:cs="Arial"/>
                <w:sz w:val="20"/>
                <w:szCs w:val="20"/>
              </w:rPr>
              <w:t xml:space="preserve"> brand</w:t>
            </w:r>
            <w:r w:rsidRPr="00537B4C">
              <w:rPr>
                <w:rFonts w:ascii="Arial" w:hAnsi="Arial" w:cs="Arial"/>
                <w:sz w:val="20"/>
                <w:szCs w:val="20"/>
              </w:rPr>
              <w:t xml:space="preserve">’s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organ </w:t>
            </w:r>
            <w:r w:rsidRPr="00537B4C">
              <w:rPr>
                <w:rFonts w:ascii="Arial" w:hAnsi="Arial" w:cs="Arial"/>
                <w:sz w:val="20"/>
                <w:szCs w:val="20"/>
              </w:rPr>
              <w:t xml:space="preserve">social media </w:t>
            </w:r>
            <w:r w:rsidR="000E4155">
              <w:rPr>
                <w:rFonts w:ascii="Arial" w:hAnsi="Arial" w:cs="Arial"/>
                <w:sz w:val="20"/>
                <w:szCs w:val="20"/>
              </w:rPr>
              <w:t>and display advertising</w:t>
            </w:r>
            <w:r>
              <w:rPr>
                <w:rFonts w:ascii="Arial" w:hAnsi="Arial" w:cs="Arial"/>
                <w:sz w:val="20"/>
                <w:szCs w:val="20"/>
              </w:rPr>
              <w:t xml:space="preserve"> globally</w:t>
            </w:r>
            <w:r w:rsidRP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>including</w:t>
            </w:r>
            <w:r w:rsidRP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>Meta platforms</w:t>
            </w:r>
            <w:r w:rsidRPr="00537B4C">
              <w:rPr>
                <w:rFonts w:ascii="Arial" w:hAnsi="Arial" w:cs="Arial"/>
                <w:sz w:val="20"/>
                <w:szCs w:val="20"/>
              </w:rPr>
              <w:t>, Twitter</w:t>
            </w:r>
            <w:r w:rsidR="000E4155">
              <w:rPr>
                <w:rFonts w:ascii="Arial" w:hAnsi="Arial" w:cs="Arial"/>
                <w:sz w:val="20"/>
                <w:szCs w:val="20"/>
              </w:rPr>
              <w:t>,</w:t>
            </w:r>
            <w:r w:rsidRP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E1A69" w:rsidRPr="00537B4C">
              <w:rPr>
                <w:rFonts w:ascii="Arial" w:hAnsi="Arial" w:cs="Arial"/>
                <w:sz w:val="20"/>
                <w:szCs w:val="20"/>
              </w:rPr>
              <w:t>LinkedIn</w:t>
            </w:r>
            <w:proofErr w:type="gramEnd"/>
            <w:r w:rsidRP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and Google </w:t>
            </w:r>
            <w:r w:rsidRPr="00537B4C">
              <w:rPr>
                <w:rFonts w:ascii="Arial" w:hAnsi="Arial" w:cs="Arial"/>
                <w:sz w:val="20"/>
                <w:szCs w:val="20"/>
              </w:rPr>
              <w:t>as well as other existing and emerging platforms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5319A" w:rsidRPr="00B75089" w14:paraId="192E2BF9" w14:textId="77777777" w:rsidTr="00F56A49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377FC7D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1E2418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5BA102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677" w:type="dxa"/>
            <w:vAlign w:val="center"/>
          </w:tcPr>
          <w:p w14:paraId="2E3C9FF8" w14:textId="77777777" w:rsidR="00F5319A" w:rsidRPr="00B75089" w:rsidRDefault="00A97F5B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66D1C98E" w14:textId="77777777" w:rsidR="00F5319A" w:rsidRPr="00B75089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£0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D741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49F2EAFE" w14:textId="77777777" w:rsidTr="00F56A49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B59ABB4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1CCD5D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FF52BC" w14:textId="77777777" w:rsidR="00F5319A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677" w:type="dxa"/>
            <w:vAlign w:val="center"/>
          </w:tcPr>
          <w:p w14:paraId="6715C9FD" w14:textId="77777777" w:rsidR="00F5319A" w:rsidRPr="00B75089" w:rsidRDefault="00F5319A" w:rsidP="00C2735B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D741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E7CA1" w:rsidRPr="00B75089" w14:paraId="0F9A3F00" w14:textId="77777777" w:rsidTr="00F56A49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72DE453" w14:textId="77777777" w:rsidR="007E7CA1" w:rsidRPr="00B75089" w:rsidRDefault="007E7CA1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268" w:type="dxa"/>
            <w:vAlign w:val="center"/>
          </w:tcPr>
          <w:p w14:paraId="069CF3A9" w14:textId="6EBCC863" w:rsidR="007E7CA1" w:rsidRPr="00B75089" w:rsidRDefault="006B7B37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E3C5404" w14:textId="77777777" w:rsidR="007E7CA1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677" w:type="dxa"/>
            <w:vAlign w:val="center"/>
          </w:tcPr>
          <w:p w14:paraId="7B6FEB13" w14:textId="5B607E2A" w:rsidR="007E7CA1" w:rsidRPr="00B75089" w:rsidRDefault="006B7B37" w:rsidP="0030633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2B6FA9A9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3FF9A8AC" w14:textId="77777777" w:rsidTr="00FE4353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75CC76E2" w14:textId="77777777" w:rsidR="009E22D0" w:rsidRPr="00B75089" w:rsidRDefault="009E22D0" w:rsidP="00FE43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19137CA3" w14:textId="77777777" w:rsidTr="00727E42">
        <w:trPr>
          <w:trHeight w:val="1019"/>
        </w:trPr>
        <w:tc>
          <w:tcPr>
            <w:tcW w:w="10509" w:type="dxa"/>
            <w:vAlign w:val="center"/>
          </w:tcPr>
          <w:p w14:paraId="5A4FEFC0" w14:textId="6F947CF1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he Social Media Executive will be responsible for the day-to-day management of </w:t>
            </w:r>
            <w:r>
              <w:rPr>
                <w:rFonts w:ascii="Arial" w:hAnsi="Arial" w:cs="Arial"/>
                <w:sz w:val="20"/>
                <w:szCs w:val="20"/>
              </w:rPr>
              <w:t>MPS’s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social media </w:t>
            </w:r>
            <w:r>
              <w:rPr>
                <w:rFonts w:ascii="Arial" w:hAnsi="Arial" w:cs="Arial"/>
                <w:sz w:val="20"/>
                <w:szCs w:val="20"/>
              </w:rPr>
              <w:t xml:space="preserve">presences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and display advertising </w:t>
            </w:r>
            <w:r>
              <w:rPr>
                <w:rFonts w:ascii="Arial" w:hAnsi="Arial" w:cs="Arial"/>
                <w:sz w:val="20"/>
                <w:szCs w:val="20"/>
              </w:rPr>
              <w:t xml:space="preserve">across </w:t>
            </w:r>
            <w:r w:rsidR="000E4155">
              <w:rPr>
                <w:rFonts w:ascii="Arial" w:hAnsi="Arial" w:cs="Arial"/>
                <w:sz w:val="20"/>
                <w:szCs w:val="20"/>
              </w:rPr>
              <w:t>Meta platforms</w:t>
            </w:r>
            <w:r>
              <w:rPr>
                <w:rFonts w:ascii="Arial" w:hAnsi="Arial" w:cs="Arial"/>
                <w:sz w:val="20"/>
                <w:szCs w:val="20"/>
              </w:rPr>
              <w:t>, Twitter</w:t>
            </w:r>
            <w:r w:rsidR="000E415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E1A69">
              <w:rPr>
                <w:rFonts w:ascii="Arial" w:hAnsi="Arial" w:cs="Arial"/>
                <w:sz w:val="20"/>
                <w:szCs w:val="20"/>
              </w:rPr>
              <w:t>LinkedIn</w:t>
            </w:r>
            <w:proofErr w:type="gramEnd"/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and Google 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as well as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existing and </w:t>
            </w:r>
            <w:r w:rsidRPr="00F42234">
              <w:rPr>
                <w:rFonts w:ascii="Arial" w:hAnsi="Arial" w:cs="Arial"/>
                <w:sz w:val="20"/>
                <w:szCs w:val="20"/>
              </w:rPr>
              <w:t>emerging platform</w:t>
            </w:r>
            <w:r w:rsidR="000E4155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650351A9" w14:textId="1F7B4A47" w:rsidR="00537B4C" w:rsidRPr="00F42234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 w:rsidRPr="00F42234">
              <w:rPr>
                <w:rFonts w:ascii="Arial" w:hAnsi="Arial" w:cs="Arial"/>
                <w:sz w:val="20"/>
                <w:szCs w:val="20"/>
              </w:rPr>
              <w:t>You will</w:t>
            </w:r>
            <w:r>
              <w:rPr>
                <w:rFonts w:ascii="Arial" w:hAnsi="Arial" w:cs="Arial"/>
                <w:sz w:val="20"/>
                <w:szCs w:val="20"/>
              </w:rPr>
              <w:t xml:space="preserve"> work with the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Marketing Manager and </w:t>
            </w:r>
            <w:r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r w:rsidR="001C4770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>
              <w:rPr>
                <w:rFonts w:ascii="Arial" w:hAnsi="Arial" w:cs="Arial"/>
                <w:sz w:val="20"/>
                <w:szCs w:val="20"/>
              </w:rPr>
              <w:t>Manager to manage and plan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the execution of social media content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campaigns </w:t>
            </w:r>
            <w:r w:rsidRPr="00F42234">
              <w:rPr>
                <w:rFonts w:ascii="Arial" w:hAnsi="Arial" w:cs="Arial"/>
                <w:sz w:val="20"/>
                <w:szCs w:val="20"/>
              </w:rPr>
              <w:t>across the platform</w:t>
            </w:r>
            <w:r>
              <w:rPr>
                <w:rFonts w:ascii="Arial" w:hAnsi="Arial" w:cs="Arial"/>
                <w:sz w:val="20"/>
                <w:szCs w:val="20"/>
              </w:rPr>
              <w:t>s, and exhibit command over MPS’s brand voice online.</w:t>
            </w:r>
          </w:p>
          <w:p w14:paraId="4B60BF3F" w14:textId="3F477A0D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 w:rsidRPr="00F42234">
              <w:rPr>
                <w:rFonts w:ascii="Arial" w:hAnsi="Arial" w:cs="Arial"/>
                <w:sz w:val="20"/>
                <w:szCs w:val="20"/>
              </w:rPr>
              <w:t xml:space="preserve">This role will also require you to </w:t>
            </w:r>
            <w:r w:rsidR="000E4155">
              <w:rPr>
                <w:rFonts w:ascii="Arial" w:hAnsi="Arial" w:cs="Arial"/>
                <w:sz w:val="20"/>
                <w:szCs w:val="20"/>
              </w:rPr>
              <w:t>work with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4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the Digital </w:t>
            </w:r>
            <w:r w:rsidR="001C4770" w:rsidRPr="000E4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Marketing </w:t>
            </w:r>
            <w:r w:rsidRPr="000E415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Manager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evolving and </w:t>
            </w:r>
            <w:r>
              <w:rPr>
                <w:rFonts w:ascii="Arial" w:hAnsi="Arial" w:cs="Arial"/>
                <w:sz w:val="20"/>
                <w:szCs w:val="20"/>
              </w:rPr>
              <w:t>implemen</w:t>
            </w:r>
            <w:r w:rsidR="000E415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E4155">
              <w:rPr>
                <w:rFonts w:ascii="Arial" w:hAnsi="Arial" w:cs="Arial"/>
                <w:sz w:val="20"/>
                <w:szCs w:val="20"/>
              </w:rPr>
              <w:t>ng</w:t>
            </w:r>
            <w:r>
              <w:rPr>
                <w:rFonts w:ascii="Arial" w:hAnsi="Arial" w:cs="Arial"/>
                <w:sz w:val="20"/>
                <w:szCs w:val="20"/>
              </w:rPr>
              <w:t xml:space="preserve"> MPS’s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>
              <w:rPr>
                <w:rFonts w:ascii="Arial" w:hAnsi="Arial" w:cs="Arial"/>
                <w:sz w:val="20"/>
                <w:szCs w:val="20"/>
              </w:rPr>
              <w:t xml:space="preserve">social media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and display advertising </w:t>
            </w:r>
            <w:r>
              <w:rPr>
                <w:rFonts w:ascii="Arial" w:hAnsi="Arial" w:cs="Arial"/>
                <w:sz w:val="20"/>
                <w:szCs w:val="20"/>
              </w:rPr>
              <w:t>strateg</w:t>
            </w:r>
            <w:r w:rsidR="000E4155">
              <w:rPr>
                <w:rFonts w:ascii="Arial" w:hAnsi="Arial" w:cs="Arial"/>
                <w:sz w:val="20"/>
                <w:szCs w:val="20"/>
              </w:rPr>
              <w:t>ies</w:t>
            </w:r>
            <w:r>
              <w:rPr>
                <w:rFonts w:ascii="Arial" w:hAnsi="Arial" w:cs="Arial"/>
                <w:sz w:val="20"/>
                <w:szCs w:val="20"/>
              </w:rPr>
              <w:t>.  The role involves:</w:t>
            </w:r>
          </w:p>
          <w:p w14:paraId="1D17DF2F" w14:textId="50B81715" w:rsidR="000E4155" w:rsidRDefault="000E4155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Ownership of the social media content plan.</w:t>
            </w:r>
          </w:p>
          <w:p w14:paraId="41AF6661" w14:textId="0A3A28C2" w:rsidR="000E4155" w:rsidRPr="00995029" w:rsidRDefault="001C4770" w:rsidP="00995029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Implementation and optimisation</w:t>
            </w:r>
            <w:r w:rsidR="00537B4C" w:rsidRPr="00F42234">
              <w:rPr>
                <w:rFonts w:ascii="Arial" w:hAnsi="Arial" w:cs="Arial"/>
                <w:sz w:val="20"/>
                <w:szCs w:val="20"/>
              </w:rPr>
              <w:t xml:space="preserve"> of social media campaigns</w:t>
            </w:r>
            <w:r w:rsid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155">
              <w:rPr>
                <w:rFonts w:ascii="Arial" w:hAnsi="Arial" w:cs="Arial"/>
                <w:sz w:val="20"/>
                <w:szCs w:val="20"/>
              </w:rPr>
              <w:t xml:space="preserve">notably </w:t>
            </w:r>
            <w:r w:rsidR="00537B4C">
              <w:rPr>
                <w:rFonts w:ascii="Arial" w:hAnsi="Arial" w:cs="Arial"/>
                <w:sz w:val="20"/>
                <w:szCs w:val="20"/>
              </w:rPr>
              <w:t>for Marketing, External Relations</w:t>
            </w:r>
            <w:r w:rsidR="00995029">
              <w:rPr>
                <w:rFonts w:ascii="Arial" w:hAnsi="Arial" w:cs="Arial"/>
                <w:sz w:val="20"/>
                <w:szCs w:val="20"/>
              </w:rPr>
              <w:t xml:space="preserve"> (press and policy)</w:t>
            </w:r>
            <w:r w:rsidR="00537B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E4155">
              <w:rPr>
                <w:rFonts w:ascii="Arial" w:hAnsi="Arial" w:cs="Arial"/>
                <w:sz w:val="20"/>
                <w:szCs w:val="20"/>
              </w:rPr>
              <w:t>other internal expert content sources</w:t>
            </w:r>
            <w:r w:rsidR="00537B4C">
              <w:rPr>
                <w:rFonts w:ascii="Arial" w:hAnsi="Arial" w:cs="Arial"/>
                <w:sz w:val="20"/>
                <w:szCs w:val="20"/>
              </w:rPr>
              <w:t>.</w:t>
            </w:r>
            <w:r w:rsidR="00995029">
              <w:rPr>
                <w:rFonts w:ascii="Arial" w:hAnsi="Arial" w:cs="Arial"/>
                <w:sz w:val="20"/>
                <w:szCs w:val="20"/>
              </w:rPr>
              <w:t xml:space="preserve"> Includes b</w:t>
            </w:r>
            <w:r w:rsidR="00537B4C" w:rsidRPr="00995029">
              <w:rPr>
                <w:rFonts w:ascii="Arial" w:hAnsi="Arial" w:cs="Arial"/>
                <w:sz w:val="20"/>
                <w:szCs w:val="20"/>
              </w:rPr>
              <w:t>oth organic and paid / targeted media.</w:t>
            </w:r>
            <w:r w:rsidR="000E4155" w:rsidRPr="009950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20760E" w14:textId="3C0DA768" w:rsidR="000E4155" w:rsidRDefault="000E4155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Development and management of social media influencer </w:t>
            </w:r>
            <w:r w:rsidR="00BE6443">
              <w:rPr>
                <w:rFonts w:ascii="Arial" w:hAnsi="Arial" w:cs="Arial"/>
                <w:sz w:val="20"/>
                <w:szCs w:val="20"/>
              </w:rPr>
              <w:t>(micro/nano-influencer) and user generated content</w:t>
            </w:r>
            <w:r w:rsidR="009950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45E2F1" w14:textId="43DE23BB" w:rsidR="00537B4C" w:rsidRDefault="00537B4C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</w:t>
            </w:r>
            <w:r w:rsidR="00995029">
              <w:rPr>
                <w:rFonts w:ascii="Arial" w:hAnsi="Arial" w:cs="Arial"/>
                <w:sz w:val="20"/>
                <w:szCs w:val="20"/>
              </w:rPr>
              <w:t>th of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 media colleague (employee) advocacy including </w:t>
            </w:r>
            <w:r w:rsidR="00995029">
              <w:rPr>
                <w:rFonts w:ascii="Arial" w:hAnsi="Arial" w:cs="Arial"/>
                <w:sz w:val="20"/>
                <w:szCs w:val="20"/>
              </w:rPr>
              <w:t>coaching and</w:t>
            </w:r>
            <w:r>
              <w:rPr>
                <w:rFonts w:ascii="Arial" w:hAnsi="Arial" w:cs="Arial"/>
                <w:sz w:val="20"/>
                <w:szCs w:val="20"/>
              </w:rPr>
              <w:t xml:space="preserve"> training colleagues. 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F4766" w14:textId="51CAE470" w:rsidR="001C4770" w:rsidRDefault="00537B4C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  <w:r w:rsidR="00BE6443">
              <w:rPr>
                <w:rFonts w:ascii="Arial" w:hAnsi="Arial" w:cs="Arial"/>
                <w:sz w:val="20"/>
                <w:szCs w:val="20"/>
              </w:rPr>
              <w:t xml:space="preserve">ing, </w:t>
            </w:r>
            <w:proofErr w:type="gramStart"/>
            <w:r w:rsidR="00BE6443">
              <w:rPr>
                <w:rFonts w:ascii="Arial" w:hAnsi="Arial" w:cs="Arial"/>
                <w:sz w:val="20"/>
                <w:szCs w:val="20"/>
              </w:rPr>
              <w:t>triaging</w:t>
            </w:r>
            <w:proofErr w:type="gramEnd"/>
            <w:r w:rsidR="00BE6443">
              <w:rPr>
                <w:rFonts w:ascii="Arial" w:hAnsi="Arial" w:cs="Arial"/>
                <w:sz w:val="20"/>
                <w:szCs w:val="20"/>
              </w:rPr>
              <w:t xml:space="preserve"> and responding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770">
              <w:rPr>
                <w:rFonts w:ascii="Arial" w:hAnsi="Arial" w:cs="Arial"/>
                <w:sz w:val="20"/>
                <w:szCs w:val="20"/>
              </w:rPr>
              <w:t xml:space="preserve">social media </w:t>
            </w:r>
            <w:r w:rsidR="00BE6443">
              <w:rPr>
                <w:rFonts w:ascii="Arial" w:hAnsi="Arial" w:cs="Arial"/>
                <w:sz w:val="20"/>
                <w:szCs w:val="20"/>
              </w:rPr>
              <w:t>comments and direct messaging</w:t>
            </w:r>
            <w:r w:rsidR="001C47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FF5F7" w14:textId="662CC186" w:rsidR="00537B4C" w:rsidRDefault="001C4770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</w:t>
            </w:r>
            <w:r w:rsidR="00BE6443">
              <w:rPr>
                <w:rFonts w:ascii="Arial" w:hAnsi="Arial" w:cs="Arial"/>
                <w:sz w:val="20"/>
                <w:szCs w:val="20"/>
              </w:rPr>
              <w:t>ysis,</w:t>
            </w:r>
            <w:r w:rsidR="009950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95029">
              <w:rPr>
                <w:rFonts w:ascii="Arial" w:hAnsi="Arial" w:cs="Arial"/>
                <w:sz w:val="20"/>
                <w:szCs w:val="20"/>
              </w:rPr>
              <w:t>reporting</w:t>
            </w:r>
            <w:proofErr w:type="gramEnd"/>
            <w:r w:rsidR="00995029">
              <w:rPr>
                <w:rFonts w:ascii="Arial" w:hAnsi="Arial" w:cs="Arial"/>
                <w:sz w:val="20"/>
                <w:szCs w:val="20"/>
              </w:rPr>
              <w:t xml:space="preserve"> and insights</w:t>
            </w:r>
            <w:r w:rsidR="00537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029">
              <w:rPr>
                <w:rFonts w:ascii="Arial" w:hAnsi="Arial" w:cs="Arial"/>
                <w:sz w:val="20"/>
                <w:szCs w:val="20"/>
              </w:rPr>
              <w:t>relating to</w:t>
            </w:r>
            <w:r w:rsidR="00537B4C">
              <w:rPr>
                <w:rFonts w:ascii="Arial" w:hAnsi="Arial" w:cs="Arial"/>
                <w:sz w:val="20"/>
                <w:szCs w:val="20"/>
              </w:rPr>
              <w:t xml:space="preserve"> social media performance</w:t>
            </w:r>
            <w:r w:rsidR="00995029">
              <w:rPr>
                <w:rFonts w:ascii="Arial" w:hAnsi="Arial" w:cs="Arial"/>
                <w:sz w:val="20"/>
                <w:szCs w:val="20"/>
              </w:rPr>
              <w:t xml:space="preserve"> in order to optimise performance</w:t>
            </w:r>
            <w:r w:rsidR="00537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7CFE5E" w14:textId="1A2913CC" w:rsidR="00995029" w:rsidRPr="00995029" w:rsidRDefault="00995029" w:rsidP="00995029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Champion data-driven best practice for social media including </w:t>
            </w:r>
            <w:r w:rsidRPr="00995029">
              <w:rPr>
                <w:rFonts w:ascii="Arial" w:hAnsi="Arial" w:cs="Arial"/>
                <w:sz w:val="20"/>
                <w:szCs w:val="20"/>
              </w:rPr>
              <w:t>the creative content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monitoring of both channels.</w:t>
            </w:r>
          </w:p>
          <w:p w14:paraId="3675C7C1" w14:textId="40CC1EBC" w:rsidR="00995029" w:rsidRPr="00995029" w:rsidRDefault="00995029" w:rsidP="00995029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continual improvement in strategy, systems, new platforms and opportunities and approach.</w:t>
            </w:r>
          </w:p>
          <w:p w14:paraId="5D2BEA55" w14:textId="6B5EFF51" w:rsidR="00537B4C" w:rsidRPr="00C91017" w:rsidRDefault="00537B4C" w:rsidP="00537B4C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in incident management.</w:t>
            </w:r>
          </w:p>
          <w:p w14:paraId="738F67BB" w14:textId="77777777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B9691" w14:textId="2EB1B5B9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ou will need to be adept in </w:t>
            </w:r>
            <w:r>
              <w:rPr>
                <w:rFonts w:ascii="Arial" w:hAnsi="Arial" w:cs="Arial"/>
                <w:sz w:val="20"/>
                <w:szCs w:val="20"/>
              </w:rPr>
              <w:t xml:space="preserve">writing appropriate content and asset </w:t>
            </w:r>
            <w:r w:rsidR="001C4770">
              <w:rPr>
                <w:rFonts w:ascii="Arial" w:hAnsi="Arial" w:cs="Arial"/>
                <w:sz w:val="20"/>
                <w:szCs w:val="20"/>
              </w:rPr>
              <w:t>creation</w:t>
            </w:r>
            <w:r w:rsidR="001C4770"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and ensuring that campaigns are delivered on budget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F42234">
              <w:rPr>
                <w:rFonts w:ascii="Arial" w:hAnsi="Arial" w:cs="Arial"/>
                <w:sz w:val="20"/>
                <w:szCs w:val="20"/>
              </w:rPr>
              <w:t>within agreed timeframes.</w:t>
            </w:r>
          </w:p>
          <w:p w14:paraId="661EDD28" w14:textId="61E66EA6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 w:rsidRPr="00F42234">
              <w:rPr>
                <w:rFonts w:ascii="Arial" w:hAnsi="Arial" w:cs="Arial"/>
                <w:sz w:val="20"/>
                <w:szCs w:val="20"/>
              </w:rPr>
              <w:t xml:space="preserve">The Social Media Executive will build relationships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key internal and external stakeholders through appropriate internal engagement and will attend relevant MPS run events 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to enrich social media </w:t>
            </w:r>
            <w:r w:rsidR="001C4770">
              <w:rPr>
                <w:rFonts w:ascii="Arial" w:hAnsi="Arial" w:cs="Arial"/>
                <w:sz w:val="20"/>
                <w:szCs w:val="20"/>
              </w:rPr>
              <w:t>opportunities</w:t>
            </w:r>
            <w:r w:rsidRPr="00F422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17390C" w14:textId="4BEBB55D" w:rsidR="00537B4C" w:rsidRDefault="00537B4C" w:rsidP="00537B4C">
            <w:pPr>
              <w:rPr>
                <w:rFonts w:ascii="Arial" w:hAnsi="Arial" w:cs="Arial"/>
                <w:sz w:val="20"/>
                <w:szCs w:val="20"/>
              </w:rPr>
            </w:pPr>
            <w:r w:rsidRPr="00F42234">
              <w:rPr>
                <w:rFonts w:ascii="Arial" w:hAnsi="Arial" w:cs="Arial"/>
                <w:sz w:val="20"/>
                <w:szCs w:val="20"/>
              </w:rPr>
              <w:t xml:space="preserve">The Social Media Executive is part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r w:rsidR="001C4770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r>
              <w:rPr>
                <w:rFonts w:ascii="Arial" w:hAnsi="Arial" w:cs="Arial"/>
                <w:sz w:val="20"/>
                <w:szCs w:val="20"/>
              </w:rPr>
              <w:t>team in the Brand and Marketing department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who shape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deliver MPS’s member facing </w:t>
            </w:r>
            <w:r w:rsidR="00995029">
              <w:rPr>
                <w:rFonts w:ascii="Arial" w:hAnsi="Arial" w:cs="Arial"/>
                <w:sz w:val="20"/>
                <w:szCs w:val="20"/>
              </w:rPr>
              <w:t>online presence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digital member engagement strategies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42234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F42234">
              <w:rPr>
                <w:rFonts w:ascii="Arial" w:hAnsi="Arial" w:cs="Arial"/>
                <w:sz w:val="20"/>
                <w:szCs w:val="20"/>
              </w:rPr>
              <w:t xml:space="preserve"> define and deliver a consistent and compelling </w:t>
            </w:r>
            <w:r>
              <w:rPr>
                <w:rFonts w:ascii="Arial" w:hAnsi="Arial" w:cs="Arial"/>
                <w:sz w:val="20"/>
                <w:szCs w:val="20"/>
              </w:rPr>
              <w:t>MPS</w:t>
            </w:r>
            <w:r w:rsidRPr="00F42234">
              <w:rPr>
                <w:rFonts w:ascii="Arial" w:hAnsi="Arial" w:cs="Arial"/>
                <w:sz w:val="20"/>
                <w:szCs w:val="20"/>
              </w:rPr>
              <w:t xml:space="preserve"> brand message to our audiences</w:t>
            </w:r>
            <w:r w:rsidR="00995029">
              <w:rPr>
                <w:rFonts w:ascii="Arial" w:hAnsi="Arial" w:cs="Arial"/>
                <w:sz w:val="20"/>
                <w:szCs w:val="20"/>
              </w:rPr>
              <w:t xml:space="preserve"> to support growth and retention</w:t>
            </w:r>
            <w:r w:rsidRPr="00F4223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C8AFF7" w14:textId="49184E6F" w:rsidR="00AE3815" w:rsidRPr="00C17E8B" w:rsidRDefault="00AE3815" w:rsidP="00C17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A12DE4" w14:textId="1FB670C9" w:rsidR="008E1A69" w:rsidRDefault="008E1A69" w:rsidP="00B75089">
      <w:pPr>
        <w:spacing w:line="240" w:lineRule="auto"/>
        <w:rPr>
          <w:rFonts w:ascii="Arial" w:hAnsi="Arial" w:cs="Arial"/>
          <w:sz w:val="6"/>
          <w:szCs w:val="6"/>
        </w:rPr>
      </w:pPr>
    </w:p>
    <w:p w14:paraId="35117FCD" w14:textId="77777777" w:rsidR="008E1A69" w:rsidRDefault="008E1A69">
      <w:pPr>
        <w:spacing w:after="0" w:line="240" w:lineRule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br w:type="page"/>
      </w:r>
    </w:p>
    <w:p w14:paraId="6B0E53EC" w14:textId="77777777" w:rsidR="009E22D0" w:rsidRPr="00AE3815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A97F5B" w:rsidRPr="00B75089" w14:paraId="21E5664E" w14:textId="77777777" w:rsidTr="00AE3815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116A51E8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36D4EF19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A97F5B" w:rsidRPr="00B75089" w14:paraId="5903F6E5" w14:textId="77777777" w:rsidTr="00D71CBA">
        <w:trPr>
          <w:trHeight w:val="1982"/>
        </w:trPr>
        <w:tc>
          <w:tcPr>
            <w:tcW w:w="6771" w:type="dxa"/>
            <w:vAlign w:val="center"/>
          </w:tcPr>
          <w:p w14:paraId="7892781A" w14:textId="77777777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Leadership </w:t>
            </w:r>
          </w:p>
          <w:p w14:paraId="26167F5F" w14:textId="2A0C475B" w:rsidR="00A97F5B" w:rsidRPr="00FE4353" w:rsidRDefault="00A97F5B" w:rsidP="00D71CB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95029">
              <w:rPr>
                <w:rFonts w:ascii="Arial" w:eastAsia="Calibri" w:hAnsi="Arial" w:cs="Arial"/>
                <w:sz w:val="20"/>
                <w:szCs w:val="20"/>
              </w:rPr>
              <w:t xml:space="preserve">(divisional)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48213827" w14:textId="77777777" w:rsidR="00A97F5B" w:rsidRPr="00FE4353" w:rsidRDefault="00A97F5B" w:rsidP="00D71CB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and roll out other projects/initiatives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ensuring delivery of projects to time, cost and quality and that can demonstrate a return on investment</w:t>
            </w:r>
          </w:p>
        </w:tc>
        <w:tc>
          <w:tcPr>
            <w:tcW w:w="3716" w:type="dxa"/>
            <w:vAlign w:val="center"/>
          </w:tcPr>
          <w:p w14:paraId="3D740570" w14:textId="77777777" w:rsidR="00A97F5B" w:rsidRPr="00912FBA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2701684A" w14:textId="77777777" w:rsidR="00A97F5B" w:rsidRPr="00912FBA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7C0AA71C" w14:textId="0860985A" w:rsidR="00A97F5B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912FBA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  <w:p w14:paraId="7CC15AAE" w14:textId="1FF78023" w:rsidR="006B7B37" w:rsidRPr="00912FBA" w:rsidRDefault="006B7B37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3FB9E145" w14:textId="77777777" w:rsidR="00A97F5B" w:rsidRPr="00B75089" w:rsidRDefault="00A97F5B" w:rsidP="00D71CB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5CCE91C4" w14:textId="77777777" w:rsidTr="00D71CBA">
        <w:trPr>
          <w:trHeight w:val="1756"/>
        </w:trPr>
        <w:tc>
          <w:tcPr>
            <w:tcW w:w="6771" w:type="dxa"/>
            <w:vAlign w:val="center"/>
          </w:tcPr>
          <w:p w14:paraId="08239F70" w14:textId="77777777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59A842E9" w14:textId="77777777" w:rsidR="00A97F5B" w:rsidRDefault="00A97F5B" w:rsidP="00D71CBA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leadership team</w:t>
            </w:r>
          </w:p>
          <w:p w14:paraId="271BB977" w14:textId="77777777" w:rsidR="00A97F5B" w:rsidRPr="00644BB2" w:rsidRDefault="00A97F5B" w:rsidP="00D71CBA">
            <w:pPr>
              <w:pStyle w:val="ListParagraph"/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6DA6D562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3454F18F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39C3D696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290C17F4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4FFFAEDA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1EE3B86A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21267E78" w14:textId="77777777" w:rsidR="00A97F5B" w:rsidRPr="00FE4353" w:rsidRDefault="00A97F5B" w:rsidP="00D71CBA">
            <w:pPr>
              <w:pStyle w:val="ListParagraph"/>
              <w:numPr>
                <w:ilvl w:val="0"/>
                <w:numId w:val="20"/>
              </w:numPr>
              <w:spacing w:after="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Return on education Vs plan</w:t>
            </w:r>
          </w:p>
        </w:tc>
      </w:tr>
      <w:tr w:rsidR="00A97F5B" w:rsidRPr="00B75089" w14:paraId="3BDE56B8" w14:textId="77777777" w:rsidTr="00D71CBA">
        <w:trPr>
          <w:trHeight w:val="578"/>
        </w:trPr>
        <w:tc>
          <w:tcPr>
            <w:tcW w:w="6771" w:type="dxa"/>
            <w:vAlign w:val="center"/>
          </w:tcPr>
          <w:p w14:paraId="7BBAF3AD" w14:textId="77777777" w:rsidR="00A97F5B" w:rsidRPr="00C874F8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4E232E21" w14:textId="77777777" w:rsidR="00A97F5B" w:rsidRPr="003D59DC" w:rsidRDefault="00A97F5B" w:rsidP="00D71CBA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>Monitor and provide robust challenge of emerging people risks and issues arising from business activities which fail to deliver appropriate and consistent outcomes for members or are likely to have a material adverse effect on the Group, its operation or financial security</w:t>
            </w:r>
          </w:p>
        </w:tc>
        <w:tc>
          <w:tcPr>
            <w:tcW w:w="3716" w:type="dxa"/>
            <w:vAlign w:val="center"/>
          </w:tcPr>
          <w:p w14:paraId="36AD929D" w14:textId="77777777" w:rsidR="00A97F5B" w:rsidRPr="00644BB2" w:rsidRDefault="00A97F5B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A97F5B" w:rsidRPr="00B75089" w14:paraId="6CF38E92" w14:textId="77777777" w:rsidTr="00D71CBA">
        <w:trPr>
          <w:trHeight w:val="1505"/>
        </w:trPr>
        <w:tc>
          <w:tcPr>
            <w:tcW w:w="6771" w:type="dxa"/>
            <w:vAlign w:val="center"/>
          </w:tcPr>
          <w:p w14:paraId="5BB1A7D6" w14:textId="77777777" w:rsidR="00A97F5B" w:rsidRPr="00B75089" w:rsidRDefault="00A97F5B" w:rsidP="00D71CBA">
            <w:pPr>
              <w:spacing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49809229" w14:textId="77777777" w:rsidR="00A97F5B" w:rsidRPr="003D59DC" w:rsidRDefault="00A97F5B" w:rsidP="00D71CBA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</w:p>
        </w:tc>
        <w:tc>
          <w:tcPr>
            <w:tcW w:w="3716" w:type="dxa"/>
            <w:vAlign w:val="center"/>
          </w:tcPr>
          <w:p w14:paraId="64740B6E" w14:textId="77777777" w:rsidR="00A97F5B" w:rsidRPr="003D59DC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52E76150" w14:textId="77777777" w:rsidR="00A97F5B" w:rsidRPr="003D59DC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118D188D" w14:textId="77777777" w:rsidR="00A97F5B" w:rsidRPr="00B75089" w:rsidRDefault="00A97F5B" w:rsidP="00D71CBA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40214366" w14:textId="77777777" w:rsidTr="00D71CBA">
        <w:trPr>
          <w:trHeight w:val="1265"/>
        </w:trPr>
        <w:tc>
          <w:tcPr>
            <w:tcW w:w="6771" w:type="dxa"/>
            <w:vAlign w:val="center"/>
          </w:tcPr>
          <w:p w14:paraId="56B15D77" w14:textId="77777777" w:rsidR="00A97F5B" w:rsidRPr="00B75089" w:rsidRDefault="00A97F5B" w:rsidP="00D71CBA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6D5B83C2" w14:textId="77777777" w:rsidR="00A97F5B" w:rsidRPr="00644BB2" w:rsidRDefault="00A97F5B" w:rsidP="00D71CBA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14:paraId="6ADA8809" w14:textId="77777777" w:rsidR="00A97F5B" w:rsidRPr="002D7ABB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CA1A419" w14:textId="77777777" w:rsidR="00A97F5B" w:rsidRPr="00B75089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5723849B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75DD7909" w14:textId="77777777" w:rsidTr="000B39D2">
        <w:trPr>
          <w:trHeight w:val="45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08A32560" w14:textId="77777777" w:rsidR="009E22D0" w:rsidRPr="00B75089" w:rsidRDefault="009E22D0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4FAA0B43" w14:textId="77777777" w:rsidTr="008E1A69">
        <w:trPr>
          <w:trHeight w:val="1636"/>
        </w:trPr>
        <w:tc>
          <w:tcPr>
            <w:tcW w:w="10490" w:type="dxa"/>
          </w:tcPr>
          <w:p w14:paraId="54D2AE20" w14:textId="77777777" w:rsidR="00537B4C" w:rsidRPr="005E00DB" w:rsidRDefault="00537B4C" w:rsidP="00537B4C">
            <w:pPr>
              <w:rPr>
                <w:rFonts w:ascii="Arial" w:hAnsi="Arial" w:cs="Arial"/>
                <w:sz w:val="20"/>
              </w:rPr>
            </w:pPr>
            <w:r w:rsidRPr="005E00DB">
              <w:rPr>
                <w:rFonts w:ascii="Arial" w:hAnsi="Arial" w:cs="Arial"/>
                <w:sz w:val="20"/>
              </w:rPr>
              <w:t>Manage Social Media activity, campaigns and day-to-day activities including:</w:t>
            </w:r>
          </w:p>
          <w:p w14:paraId="316ED326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  <w:szCs w:val="20"/>
              </w:rPr>
              <w:t>Social media content</w:t>
            </w:r>
          </w:p>
          <w:p w14:paraId="03A72443" w14:textId="7887E40F" w:rsidR="00537B4C" w:rsidRPr="005E00DB" w:rsidRDefault="00537B4C" w:rsidP="00537B4C">
            <w:pPr>
              <w:pStyle w:val="ListParagraph"/>
              <w:numPr>
                <w:ilvl w:val="1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  <w:szCs w:val="20"/>
              </w:rPr>
              <w:t>Curate, create and adapt content for each specific social network</w:t>
            </w:r>
          </w:p>
          <w:p w14:paraId="3E26CE72" w14:textId="77777777" w:rsidR="00537B4C" w:rsidRPr="005E00DB" w:rsidRDefault="00537B4C" w:rsidP="00537B4C">
            <w:pPr>
              <w:pStyle w:val="ListParagraph"/>
              <w:numPr>
                <w:ilvl w:val="1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  <w:szCs w:val="20"/>
              </w:rPr>
              <w:t>Post and schedule content and management of published content</w:t>
            </w:r>
          </w:p>
          <w:p w14:paraId="71CAB66A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Monitor, listen and respond to users and coordinate responses from colleagues</w:t>
            </w:r>
          </w:p>
          <w:p w14:paraId="08C4F9E5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Identify threats and opportunities in user generated content surrounding the business. Report notable threats to appropriate management</w:t>
            </w:r>
          </w:p>
          <w:p w14:paraId="07B38390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 xml:space="preserve">Work with creative team to ensure assets meet best practice and brand guidelines </w:t>
            </w:r>
          </w:p>
          <w:p w14:paraId="0CCAD5BA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Work closely with External Relations team to deliver effective campaigns, messaging and media related issues</w:t>
            </w:r>
          </w:p>
          <w:p w14:paraId="5C75ECB4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Develop, create and manage targeted paid promotions and display ad campaigns</w:t>
            </w:r>
          </w:p>
          <w:p w14:paraId="33068EB5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</w:rPr>
            </w:pPr>
            <w:r w:rsidRPr="005E00DB">
              <w:rPr>
                <w:rFonts w:ascii="Arial" w:hAnsi="Arial" w:cs="Arial"/>
                <w:sz w:val="20"/>
              </w:rPr>
              <w:t>Use data to make informed decisions and to test new approaches, content and campaigns, analysing results to constantly improve efforts</w:t>
            </w:r>
          </w:p>
          <w:p w14:paraId="1D9D7D03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Promote and facilitate colleague advocacy and support for MPS in Social Media spaces</w:t>
            </w:r>
          </w:p>
          <w:p w14:paraId="3DD1ABF7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Monitor and share trends in social media tools, applications, channels, design and strategy</w:t>
            </w:r>
          </w:p>
          <w:p w14:paraId="2FBEEE56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Develop and deliver regular reporting for management teams</w:t>
            </w:r>
          </w:p>
          <w:p w14:paraId="4ACA1748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Analyse campaigns and translate anecdotal or qualitative data to draw out actionable insights, making recommendations and plans for revising social media approach or specific campaigns</w:t>
            </w:r>
          </w:p>
          <w:p w14:paraId="45EC0E48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t>Monitor effective benchmarks (best practices) for measuring the impact of social media campaigns. Analyse, review, and report on effectiveness of social media activity to maximize results.</w:t>
            </w:r>
          </w:p>
          <w:p w14:paraId="0BECB3EE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E00DB">
              <w:rPr>
                <w:rFonts w:ascii="Arial" w:hAnsi="Arial" w:cs="Arial"/>
                <w:sz w:val="20"/>
              </w:rPr>
              <w:lastRenderedPageBreak/>
              <w:t>Develop a methodology and implement a proactive process for capturing customer online views and reviews. Monitor online ratings where appropriate and respond accordingly.</w:t>
            </w:r>
          </w:p>
          <w:p w14:paraId="12BF67C9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</w:rPr>
            </w:pPr>
            <w:r w:rsidRPr="005E00DB">
              <w:rPr>
                <w:rFonts w:ascii="Arial" w:hAnsi="Arial" w:cs="Arial"/>
                <w:sz w:val="20"/>
              </w:rPr>
              <w:t xml:space="preserve">Work cross functionally to find new opportunities for MPS by keeping up to date on the industry and also what is changing on social networks; working with relevant teams to be able to react and respond </w:t>
            </w:r>
            <w:proofErr w:type="gramStart"/>
            <w:r w:rsidRPr="005E00DB">
              <w:rPr>
                <w:rFonts w:ascii="Arial" w:hAnsi="Arial" w:cs="Arial"/>
                <w:sz w:val="20"/>
              </w:rPr>
              <w:t>accordingly</w:t>
            </w:r>
            <w:proofErr w:type="gramEnd"/>
          </w:p>
          <w:p w14:paraId="53FD57F2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  <w:sz w:val="20"/>
              </w:rPr>
            </w:pPr>
            <w:r w:rsidRPr="005E00DB">
              <w:rPr>
                <w:rFonts w:ascii="Arial" w:hAnsi="Arial" w:cs="Arial"/>
                <w:sz w:val="20"/>
              </w:rPr>
              <w:t>Setting the tone for the community, being present, enforcing community guidelines, and potentially deleting posts when appropriate.</w:t>
            </w:r>
          </w:p>
          <w:p w14:paraId="3923B528" w14:textId="77777777" w:rsidR="00537B4C" w:rsidRPr="005E00DB" w:rsidRDefault="00537B4C" w:rsidP="00537B4C">
            <w:pPr>
              <w:pStyle w:val="ListParagraph"/>
              <w:numPr>
                <w:ilvl w:val="0"/>
                <w:numId w:val="23"/>
              </w:numPr>
              <w:spacing w:before="120" w:beforeAutospacing="0" w:after="0" w:afterAutospacing="0"/>
              <w:rPr>
                <w:rFonts w:ascii="Arial" w:hAnsi="Arial" w:cs="Arial"/>
              </w:rPr>
            </w:pPr>
            <w:r w:rsidRPr="005E00DB">
              <w:rPr>
                <w:rFonts w:ascii="Arial" w:hAnsi="Arial" w:cs="Arial"/>
                <w:sz w:val="20"/>
              </w:rPr>
              <w:t>Review and update MPS social media usage policy</w:t>
            </w:r>
          </w:p>
          <w:p w14:paraId="3CC794F3" w14:textId="0E222D4C" w:rsidR="009E22D0" w:rsidRPr="007F096C" w:rsidRDefault="009E22D0" w:rsidP="00537B4C">
            <w:pPr>
              <w:pStyle w:val="ListParagraph"/>
              <w:spacing w:beforeLines="100" w:before="240" w:beforeAutospacing="0" w:after="240" w:afterAutospacing="0"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7EF323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E15FCB3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64271D7" w14:textId="77777777" w:rsidR="005542D1" w:rsidRPr="00B75089" w:rsidRDefault="005542D1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7EE67AD8" w14:textId="77777777" w:rsidTr="00AA0FE5">
        <w:trPr>
          <w:trHeight w:val="277"/>
        </w:trPr>
        <w:tc>
          <w:tcPr>
            <w:tcW w:w="10490" w:type="dxa"/>
          </w:tcPr>
          <w:p w14:paraId="0C8C56B1" w14:textId="77777777" w:rsidR="00247B38" w:rsidRPr="00247B38" w:rsidRDefault="00727E42" w:rsidP="00247B38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="00247B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B03B9A9" w14:textId="77777777" w:rsidR="005542D1" w:rsidRPr="00BD79CA" w:rsidRDefault="005542D1" w:rsidP="00B7508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B75089" w14:paraId="7718F10D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08F678B7" w14:textId="77777777" w:rsidR="0056188D" w:rsidRPr="00B75089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7281C2BE" w14:textId="77777777" w:rsidR="0056188D" w:rsidRPr="00AA0FE5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5567E981" w14:textId="77777777" w:rsidTr="007C3365">
        <w:trPr>
          <w:trHeight w:val="276"/>
        </w:trPr>
        <w:tc>
          <w:tcPr>
            <w:tcW w:w="6038" w:type="dxa"/>
          </w:tcPr>
          <w:p w14:paraId="12E46DA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604F1866" w14:textId="6765FED3" w:rsidR="0056188D" w:rsidRPr="00AA0FE5" w:rsidRDefault="0015355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4E17819D" w14:textId="77777777" w:rsidTr="007C3365">
        <w:trPr>
          <w:trHeight w:val="276"/>
        </w:trPr>
        <w:tc>
          <w:tcPr>
            <w:tcW w:w="6038" w:type="dxa"/>
          </w:tcPr>
          <w:p w14:paraId="0E75DBA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5A78245A" w14:textId="59F41A70" w:rsidR="004D18E8" w:rsidRPr="00AA0FE5" w:rsidRDefault="00956589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5355F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A98D6CD" w14:textId="77777777" w:rsidTr="007C3365">
        <w:trPr>
          <w:trHeight w:val="276"/>
        </w:trPr>
        <w:tc>
          <w:tcPr>
            <w:tcW w:w="6038" w:type="dxa"/>
          </w:tcPr>
          <w:p w14:paraId="76D4339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45CCBDC4" w14:textId="1894B32D" w:rsidR="004D18E8" w:rsidRPr="00AA0FE5" w:rsidRDefault="00956589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5355F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701C3F66" w14:textId="77777777" w:rsidTr="007C3365">
        <w:trPr>
          <w:trHeight w:val="276"/>
        </w:trPr>
        <w:tc>
          <w:tcPr>
            <w:tcW w:w="6038" w:type="dxa"/>
          </w:tcPr>
          <w:p w14:paraId="3475651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16B31AEA" w14:textId="7C6A767E" w:rsidR="004D18E8" w:rsidRPr="00AA0FE5" w:rsidRDefault="0015355F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5355F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4D18E8" w:rsidRPr="00B75089" w14:paraId="51FB5405" w14:textId="77777777" w:rsidTr="007C3365">
        <w:trPr>
          <w:trHeight w:val="276"/>
        </w:trPr>
        <w:tc>
          <w:tcPr>
            <w:tcW w:w="6038" w:type="dxa"/>
          </w:tcPr>
          <w:p w14:paraId="06B9155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0574194D" w14:textId="76152662" w:rsidR="004D18E8" w:rsidRPr="00AA0FE5" w:rsidRDefault="00956589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5355F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668B441A" w14:textId="77777777" w:rsidTr="007C3365">
        <w:trPr>
          <w:trHeight w:val="276"/>
        </w:trPr>
        <w:tc>
          <w:tcPr>
            <w:tcW w:w="6038" w:type="dxa"/>
          </w:tcPr>
          <w:p w14:paraId="31D334B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0E9ADFE0" w14:textId="3A4822C3" w:rsidR="004D18E8" w:rsidRPr="00AA0FE5" w:rsidRDefault="00956589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15355F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p w14:paraId="07C08E56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01213A82" w14:textId="77777777" w:rsidR="00F56A49" w:rsidRDefault="00F56A49" w:rsidP="00B75089">
      <w:pPr>
        <w:spacing w:line="240" w:lineRule="auto"/>
        <w:rPr>
          <w:rFonts w:ascii="Arial" w:hAnsi="Arial" w:cs="Arial"/>
        </w:rPr>
      </w:pPr>
    </w:p>
    <w:p w14:paraId="72CE48B8" w14:textId="77777777" w:rsidR="00F56A49" w:rsidRDefault="00F56A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332"/>
        <w:gridCol w:w="3332"/>
        <w:gridCol w:w="3332"/>
      </w:tblGrid>
      <w:tr w:rsidR="00F56A49" w:rsidRPr="00B75089" w14:paraId="7C62FBF3" w14:textId="77777777" w:rsidTr="00822E4D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6EC89D39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21448C1E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5DC030D7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311E8F0F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56A49" w:rsidRPr="00B75089" w14:paraId="57623504" w14:textId="77777777" w:rsidTr="004E5C78">
        <w:trPr>
          <w:cantSplit/>
          <w:trHeight w:val="5088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C68A0BF" w14:textId="77777777" w:rsidR="00F56A49" w:rsidRPr="00B75089" w:rsidRDefault="00F56A49" w:rsidP="00822E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32" w:type="dxa"/>
          </w:tcPr>
          <w:p w14:paraId="036546A9" w14:textId="4558AA5B" w:rsidR="00715510" w:rsidRPr="00534CF3" w:rsidRDefault="00537B4C" w:rsidP="009B796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Educated to degree level</w:t>
            </w:r>
          </w:p>
        </w:tc>
        <w:tc>
          <w:tcPr>
            <w:tcW w:w="3332" w:type="dxa"/>
          </w:tcPr>
          <w:p w14:paraId="0A6C3870" w14:textId="7A26C113" w:rsidR="00247313" w:rsidRPr="00F938A6" w:rsidRDefault="00247313" w:rsidP="00F938A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Demonstrable passion for social media management and a command over fostering on-going engagement across platforms.</w:t>
            </w:r>
          </w:p>
          <w:p w14:paraId="10CB5D41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 xml:space="preserve">Excellent writing, editing and verbal communication skills </w:t>
            </w:r>
          </w:p>
          <w:p w14:paraId="64C53657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Ability to anticipate issues, set priorities and proactively develop strong relationships both internally and externally</w:t>
            </w:r>
          </w:p>
          <w:p w14:paraId="50FA7566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Strong communication skills with ability to gain credibility and drive through ideas with colleagues</w:t>
            </w:r>
          </w:p>
          <w:p w14:paraId="3376ABFD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Meticulous attention to detail</w:t>
            </w:r>
          </w:p>
          <w:p w14:paraId="1B8AF8DE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Quick decision-making, good judgment, ability to be calm in the face of stress, ability to think globally</w:t>
            </w:r>
          </w:p>
          <w:p w14:paraId="3D7A2CF9" w14:textId="77777777" w:rsidR="00247313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Ability to troubleshoot and know where to pass a complex question, knowledge of the company / products / services</w:t>
            </w:r>
          </w:p>
          <w:p w14:paraId="264D08BD" w14:textId="3E4A42CE" w:rsidR="00715510" w:rsidRPr="00247313" w:rsidRDefault="00247313" w:rsidP="0024731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Strong organisational skills</w:t>
            </w:r>
          </w:p>
        </w:tc>
        <w:tc>
          <w:tcPr>
            <w:tcW w:w="3332" w:type="dxa"/>
          </w:tcPr>
          <w:p w14:paraId="06C2193C" w14:textId="7419A1BA" w:rsidR="00537B4C" w:rsidRPr="00537B4C" w:rsidRDefault="00537B4C" w:rsidP="00537B4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B4C">
              <w:rPr>
                <w:rFonts w:ascii="Arial" w:eastAsia="Calibri" w:hAnsi="Arial" w:cs="Arial"/>
                <w:sz w:val="20"/>
                <w:szCs w:val="20"/>
              </w:rPr>
              <w:t>Demonstrable experience and immersion in social media within a corporate environment</w:t>
            </w:r>
          </w:p>
          <w:p w14:paraId="61C89FC1" w14:textId="77777777" w:rsidR="00F938A6" w:rsidRPr="00247313" w:rsidRDefault="00F938A6" w:rsidP="00F938A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Social media background including a proven experience of 2 years managing the day to day operation of a brand social media account across different platforms</w:t>
            </w:r>
          </w:p>
          <w:p w14:paraId="7C0CB03A" w14:textId="77777777" w:rsidR="00F938A6" w:rsidRPr="00247313" w:rsidRDefault="00F938A6" w:rsidP="00F938A6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Track record of increasing reach and engagement through management of social media accounts</w:t>
            </w:r>
          </w:p>
          <w:p w14:paraId="4F5A5456" w14:textId="5E119C7B" w:rsidR="009B796A" w:rsidRPr="002E11AF" w:rsidRDefault="00F938A6" w:rsidP="00537B4C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Experience of delivering social media marketing campaigns</w:t>
            </w:r>
          </w:p>
        </w:tc>
      </w:tr>
      <w:tr w:rsidR="00537B4C" w:rsidRPr="00B75089" w14:paraId="10E92EF2" w14:textId="77777777" w:rsidTr="00A37BA8">
        <w:trPr>
          <w:cantSplit/>
          <w:trHeight w:val="133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D98C91F" w14:textId="77777777" w:rsidR="00537B4C" w:rsidRPr="00B75089" w:rsidRDefault="00537B4C" w:rsidP="00537B4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332" w:type="dxa"/>
          </w:tcPr>
          <w:p w14:paraId="79B3716E" w14:textId="31B55F33" w:rsidR="00537B4C" w:rsidRPr="00D470A1" w:rsidRDefault="00537B4C" w:rsidP="00537B4C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Digital marketing qualification</w:t>
            </w:r>
          </w:p>
        </w:tc>
        <w:tc>
          <w:tcPr>
            <w:tcW w:w="3332" w:type="dxa"/>
          </w:tcPr>
          <w:p w14:paraId="0247923F" w14:textId="77777777" w:rsidR="00537B4C" w:rsidRDefault="00537B4C" w:rsidP="00F938A6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Developing scripts for animation, video, corporate content</w:t>
            </w:r>
          </w:p>
          <w:p w14:paraId="0EC21D5B" w14:textId="77777777" w:rsidR="00F938A6" w:rsidRPr="00247313" w:rsidRDefault="00F938A6" w:rsidP="00F938A6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247313">
              <w:rPr>
                <w:rFonts w:ascii="Arial" w:eastAsia="Calibri" w:hAnsi="Arial" w:cs="Arial"/>
                <w:sz w:val="20"/>
                <w:szCs w:val="20"/>
              </w:rPr>
              <w:t>Knowledge of website usability principles and techniques</w:t>
            </w:r>
          </w:p>
          <w:p w14:paraId="74138D82" w14:textId="52A90D54" w:rsidR="00F938A6" w:rsidRPr="007952DE" w:rsidRDefault="00F938A6" w:rsidP="00F938A6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Analytics and tracking</w:t>
            </w:r>
          </w:p>
        </w:tc>
        <w:tc>
          <w:tcPr>
            <w:tcW w:w="3332" w:type="dxa"/>
          </w:tcPr>
          <w:p w14:paraId="14419183" w14:textId="25C7A60A" w:rsidR="00537B4C" w:rsidRPr="00537B4C" w:rsidRDefault="00537B4C" w:rsidP="00537B4C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B4C">
              <w:rPr>
                <w:rFonts w:ascii="Arial" w:eastAsia="Calibri" w:hAnsi="Arial" w:cs="Arial"/>
                <w:sz w:val="20"/>
                <w:szCs w:val="20"/>
              </w:rPr>
              <w:t xml:space="preserve">Marketing communications, digital communications or relevant </w:t>
            </w:r>
            <w:r w:rsidR="008E1A69" w:rsidRPr="00537B4C">
              <w:rPr>
                <w:rFonts w:ascii="Arial" w:eastAsia="Calibri" w:hAnsi="Arial" w:cs="Arial"/>
                <w:sz w:val="20"/>
                <w:szCs w:val="20"/>
              </w:rPr>
              <w:t>work-related</w:t>
            </w:r>
            <w:r w:rsidRPr="00537B4C">
              <w:rPr>
                <w:rFonts w:ascii="Arial" w:eastAsia="Calibri" w:hAnsi="Arial" w:cs="Arial"/>
                <w:sz w:val="20"/>
                <w:szCs w:val="20"/>
              </w:rPr>
              <w:t xml:space="preserve"> experience</w:t>
            </w:r>
          </w:p>
          <w:p w14:paraId="09BC1E75" w14:textId="327814A6" w:rsidR="00537B4C" w:rsidRPr="00727E42" w:rsidRDefault="00537B4C" w:rsidP="00537B4C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B4C">
              <w:rPr>
                <w:rFonts w:ascii="Arial" w:eastAsia="Calibri" w:hAnsi="Arial" w:cs="Arial"/>
                <w:sz w:val="20"/>
                <w:szCs w:val="20"/>
              </w:rPr>
              <w:t>Paid social media marketing experience</w:t>
            </w:r>
          </w:p>
        </w:tc>
      </w:tr>
    </w:tbl>
    <w:p w14:paraId="5CBAB57B" w14:textId="77777777" w:rsidR="00F56A49" w:rsidRDefault="00F56A49" w:rsidP="00B75089">
      <w:pPr>
        <w:spacing w:line="240" w:lineRule="auto"/>
        <w:rPr>
          <w:rFonts w:ascii="Arial" w:hAnsi="Arial" w:cs="Arial"/>
        </w:rPr>
      </w:pPr>
    </w:p>
    <w:p w14:paraId="01D11909" w14:textId="77777777" w:rsidR="00F56A49" w:rsidRPr="00B75089" w:rsidRDefault="00F56A49" w:rsidP="00F56A49">
      <w:pPr>
        <w:spacing w:after="0" w:line="240" w:lineRule="auto"/>
        <w:rPr>
          <w:rFonts w:ascii="Arial" w:hAnsi="Arial" w:cs="Arial"/>
        </w:rPr>
      </w:pPr>
    </w:p>
    <w:sectPr w:rsidR="00F56A49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2CFB" w14:textId="77777777" w:rsidR="00065F0C" w:rsidRDefault="00065F0C" w:rsidP="009E22D0">
      <w:pPr>
        <w:spacing w:after="0" w:line="240" w:lineRule="auto"/>
      </w:pPr>
      <w:r>
        <w:separator/>
      </w:r>
    </w:p>
  </w:endnote>
  <w:endnote w:type="continuationSeparator" w:id="0">
    <w:p w14:paraId="5A08408C" w14:textId="77777777" w:rsidR="00065F0C" w:rsidRDefault="00065F0C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8BDF454" w14:textId="77777777" w:rsidR="00787C2D" w:rsidRPr="00787C2D" w:rsidRDefault="00787C2D" w:rsidP="00787C2D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fldChar w:fldCharType="begin"/>
        </w:r>
        <w:r w:rsidRPr="00787C2D">
          <w:rPr>
            <w:sz w:val="16"/>
            <w:szCs w:val="16"/>
          </w:rPr>
          <w:instrText xml:space="preserve"> PAGE   \* MERGEFORMAT </w:instrText>
        </w:r>
        <w:r w:rsidRPr="00787C2D">
          <w:rPr>
            <w:sz w:val="16"/>
            <w:szCs w:val="16"/>
          </w:rPr>
          <w:fldChar w:fldCharType="separate"/>
        </w:r>
        <w:r w:rsidR="00C22881">
          <w:rPr>
            <w:noProof/>
            <w:sz w:val="16"/>
            <w:szCs w:val="16"/>
          </w:rPr>
          <w:t>1</w:t>
        </w:r>
        <w:r w:rsidRPr="00787C2D">
          <w:rPr>
            <w:noProof/>
            <w:sz w:val="16"/>
            <w:szCs w:val="16"/>
          </w:rPr>
          <w:fldChar w:fldCharType="end"/>
        </w:r>
      </w:p>
    </w:sdtContent>
  </w:sdt>
  <w:p w14:paraId="4A530452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BC10" w14:textId="77777777" w:rsidR="00065F0C" w:rsidRDefault="00065F0C" w:rsidP="009E22D0">
      <w:pPr>
        <w:spacing w:after="0" w:line="240" w:lineRule="auto"/>
      </w:pPr>
      <w:r>
        <w:separator/>
      </w:r>
    </w:p>
  </w:footnote>
  <w:footnote w:type="continuationSeparator" w:id="0">
    <w:p w14:paraId="49F080B9" w14:textId="77777777" w:rsidR="00065F0C" w:rsidRDefault="00065F0C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AE1E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AE9AE0F" wp14:editId="71C760E5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BA3"/>
    <w:multiLevelType w:val="hybridMultilevel"/>
    <w:tmpl w:val="5972C0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76DD1"/>
    <w:multiLevelType w:val="hybridMultilevel"/>
    <w:tmpl w:val="8EE8EE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602D4"/>
    <w:multiLevelType w:val="hybridMultilevel"/>
    <w:tmpl w:val="AD24AA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517AA"/>
    <w:multiLevelType w:val="hybridMultilevel"/>
    <w:tmpl w:val="31029B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AE9"/>
    <w:multiLevelType w:val="hybridMultilevel"/>
    <w:tmpl w:val="67DE05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A3B1C"/>
    <w:multiLevelType w:val="hybridMultilevel"/>
    <w:tmpl w:val="E95C35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9A1F9E"/>
    <w:multiLevelType w:val="hybridMultilevel"/>
    <w:tmpl w:val="3F8AE14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7B3112"/>
    <w:multiLevelType w:val="hybridMultilevel"/>
    <w:tmpl w:val="83A600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37797"/>
    <w:multiLevelType w:val="hybridMultilevel"/>
    <w:tmpl w:val="058663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A4C2B0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7964FA"/>
    <w:multiLevelType w:val="hybridMultilevel"/>
    <w:tmpl w:val="4B4AEA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B5B60"/>
    <w:multiLevelType w:val="hybridMultilevel"/>
    <w:tmpl w:val="AD1694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3169A"/>
    <w:multiLevelType w:val="hybridMultilevel"/>
    <w:tmpl w:val="89E0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475A04"/>
    <w:multiLevelType w:val="hybridMultilevel"/>
    <w:tmpl w:val="36C6BE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10C6E"/>
    <w:multiLevelType w:val="hybridMultilevel"/>
    <w:tmpl w:val="F3D02C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425942">
    <w:abstractNumId w:val="19"/>
  </w:num>
  <w:num w:numId="2" w16cid:durableId="586773024">
    <w:abstractNumId w:val="2"/>
  </w:num>
  <w:num w:numId="3" w16cid:durableId="1624992562">
    <w:abstractNumId w:val="14"/>
  </w:num>
  <w:num w:numId="4" w16cid:durableId="502555356">
    <w:abstractNumId w:val="11"/>
  </w:num>
  <w:num w:numId="5" w16cid:durableId="1366716702">
    <w:abstractNumId w:val="18"/>
  </w:num>
  <w:num w:numId="6" w16cid:durableId="629898975">
    <w:abstractNumId w:val="5"/>
  </w:num>
  <w:num w:numId="7" w16cid:durableId="1460800948">
    <w:abstractNumId w:val="23"/>
  </w:num>
  <w:num w:numId="8" w16cid:durableId="1004016240">
    <w:abstractNumId w:val="34"/>
  </w:num>
  <w:num w:numId="9" w16cid:durableId="2072387504">
    <w:abstractNumId w:val="35"/>
  </w:num>
  <w:num w:numId="10" w16cid:durableId="553083461">
    <w:abstractNumId w:val="30"/>
  </w:num>
  <w:num w:numId="11" w16cid:durableId="421143947">
    <w:abstractNumId w:val="7"/>
  </w:num>
  <w:num w:numId="12" w16cid:durableId="1126005043">
    <w:abstractNumId w:val="31"/>
  </w:num>
  <w:num w:numId="13" w16cid:durableId="598611057">
    <w:abstractNumId w:val="27"/>
  </w:num>
  <w:num w:numId="14" w16cid:durableId="454908791">
    <w:abstractNumId w:val="28"/>
  </w:num>
  <w:num w:numId="15" w16cid:durableId="868225418">
    <w:abstractNumId w:val="22"/>
  </w:num>
  <w:num w:numId="16" w16cid:durableId="1671788096">
    <w:abstractNumId w:val="15"/>
  </w:num>
  <w:num w:numId="17" w16cid:durableId="34887019">
    <w:abstractNumId w:val="32"/>
  </w:num>
  <w:num w:numId="18" w16cid:durableId="482354000">
    <w:abstractNumId w:val="3"/>
  </w:num>
  <w:num w:numId="19" w16cid:durableId="1610043734">
    <w:abstractNumId w:val="9"/>
  </w:num>
  <w:num w:numId="20" w16cid:durableId="462311116">
    <w:abstractNumId w:val="20"/>
  </w:num>
  <w:num w:numId="21" w16cid:durableId="1505127965">
    <w:abstractNumId w:val="25"/>
  </w:num>
  <w:num w:numId="22" w16cid:durableId="1495412762">
    <w:abstractNumId w:val="36"/>
  </w:num>
  <w:num w:numId="23" w16cid:durableId="977999547">
    <w:abstractNumId w:val="33"/>
  </w:num>
  <w:num w:numId="24" w16cid:durableId="2056008406">
    <w:abstractNumId w:val="21"/>
  </w:num>
  <w:num w:numId="25" w16cid:durableId="1816725964">
    <w:abstractNumId w:val="4"/>
  </w:num>
  <w:num w:numId="26" w16cid:durableId="978917513">
    <w:abstractNumId w:val="6"/>
  </w:num>
  <w:num w:numId="27" w16cid:durableId="1874033184">
    <w:abstractNumId w:val="1"/>
  </w:num>
  <w:num w:numId="28" w16cid:durableId="1025208193">
    <w:abstractNumId w:val="26"/>
  </w:num>
  <w:num w:numId="29" w16cid:durableId="79495873">
    <w:abstractNumId w:val="13"/>
  </w:num>
  <w:num w:numId="30" w16cid:durableId="2141915365">
    <w:abstractNumId w:val="16"/>
  </w:num>
  <w:num w:numId="31" w16cid:durableId="1791893988">
    <w:abstractNumId w:val="0"/>
  </w:num>
  <w:num w:numId="32" w16cid:durableId="470559311">
    <w:abstractNumId w:val="29"/>
  </w:num>
  <w:num w:numId="33" w16cid:durableId="453137253">
    <w:abstractNumId w:val="12"/>
  </w:num>
  <w:num w:numId="34" w16cid:durableId="633221386">
    <w:abstractNumId w:val="8"/>
  </w:num>
  <w:num w:numId="35" w16cid:durableId="1195381415">
    <w:abstractNumId w:val="10"/>
  </w:num>
  <w:num w:numId="36" w16cid:durableId="1979803091">
    <w:abstractNumId w:val="24"/>
  </w:num>
  <w:num w:numId="37" w16cid:durableId="1925066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210EA"/>
    <w:rsid w:val="00052D4B"/>
    <w:rsid w:val="000565E7"/>
    <w:rsid w:val="00065F0C"/>
    <w:rsid w:val="00082F60"/>
    <w:rsid w:val="0009489E"/>
    <w:rsid w:val="000A3A9A"/>
    <w:rsid w:val="000B39D2"/>
    <w:rsid w:val="000E4155"/>
    <w:rsid w:val="000E4361"/>
    <w:rsid w:val="0015355F"/>
    <w:rsid w:val="001C4770"/>
    <w:rsid w:val="002412D8"/>
    <w:rsid w:val="00247313"/>
    <w:rsid w:val="00247B38"/>
    <w:rsid w:val="002640B5"/>
    <w:rsid w:val="002B557F"/>
    <w:rsid w:val="002D7ABB"/>
    <w:rsid w:val="002E11AF"/>
    <w:rsid w:val="00304ABF"/>
    <w:rsid w:val="00306334"/>
    <w:rsid w:val="004B290F"/>
    <w:rsid w:val="004D18E8"/>
    <w:rsid w:val="004E5C78"/>
    <w:rsid w:val="00523FB4"/>
    <w:rsid w:val="00534CF3"/>
    <w:rsid w:val="00537B4C"/>
    <w:rsid w:val="005542D1"/>
    <w:rsid w:val="0056188D"/>
    <w:rsid w:val="0058300A"/>
    <w:rsid w:val="00617FB0"/>
    <w:rsid w:val="006219B1"/>
    <w:rsid w:val="006263EB"/>
    <w:rsid w:val="00644BB2"/>
    <w:rsid w:val="00666EB3"/>
    <w:rsid w:val="006746E8"/>
    <w:rsid w:val="006B7B37"/>
    <w:rsid w:val="00711E46"/>
    <w:rsid w:val="00712A11"/>
    <w:rsid w:val="00715510"/>
    <w:rsid w:val="00717094"/>
    <w:rsid w:val="00727E42"/>
    <w:rsid w:val="00787C2D"/>
    <w:rsid w:val="007952DE"/>
    <w:rsid w:val="007A7300"/>
    <w:rsid w:val="007C3287"/>
    <w:rsid w:val="007C3365"/>
    <w:rsid w:val="007E7CA1"/>
    <w:rsid w:val="007F096C"/>
    <w:rsid w:val="00813AEB"/>
    <w:rsid w:val="008924DF"/>
    <w:rsid w:val="008A7027"/>
    <w:rsid w:val="008E1A69"/>
    <w:rsid w:val="00956589"/>
    <w:rsid w:val="00995029"/>
    <w:rsid w:val="009B796A"/>
    <w:rsid w:val="009C4F7B"/>
    <w:rsid w:val="009E2136"/>
    <w:rsid w:val="009E22D0"/>
    <w:rsid w:val="00A34F44"/>
    <w:rsid w:val="00A37BA8"/>
    <w:rsid w:val="00A4414A"/>
    <w:rsid w:val="00A97F5B"/>
    <w:rsid w:val="00AA0FE5"/>
    <w:rsid w:val="00AB6804"/>
    <w:rsid w:val="00AD34A1"/>
    <w:rsid w:val="00AE3815"/>
    <w:rsid w:val="00B561BE"/>
    <w:rsid w:val="00B75089"/>
    <w:rsid w:val="00B753C2"/>
    <w:rsid w:val="00B978A6"/>
    <w:rsid w:val="00BC15D2"/>
    <w:rsid w:val="00BD79CA"/>
    <w:rsid w:val="00BE6443"/>
    <w:rsid w:val="00C17E8B"/>
    <w:rsid w:val="00C22881"/>
    <w:rsid w:val="00C2735B"/>
    <w:rsid w:val="00C32411"/>
    <w:rsid w:val="00C66661"/>
    <w:rsid w:val="00C874F8"/>
    <w:rsid w:val="00C91CFA"/>
    <w:rsid w:val="00CB0B27"/>
    <w:rsid w:val="00D35952"/>
    <w:rsid w:val="00D470A1"/>
    <w:rsid w:val="00D71CBA"/>
    <w:rsid w:val="00D741D1"/>
    <w:rsid w:val="00D84FA2"/>
    <w:rsid w:val="00DC593B"/>
    <w:rsid w:val="00DD28E3"/>
    <w:rsid w:val="00E40AC5"/>
    <w:rsid w:val="00EB322B"/>
    <w:rsid w:val="00F5319A"/>
    <w:rsid w:val="00F56A49"/>
    <w:rsid w:val="00F938A6"/>
    <w:rsid w:val="00FB4711"/>
    <w:rsid w:val="00FE1C23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A6419"/>
  <w15:docId w15:val="{D351327B-9915-43D8-825E-EBECE82B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80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80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2DE315D7-01B0-44DD-A3D2-B67EF897973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Nathan Horner</cp:lastModifiedBy>
  <cp:revision>3</cp:revision>
  <dcterms:created xsi:type="dcterms:W3CDTF">2023-07-06T15:54:00Z</dcterms:created>
  <dcterms:modified xsi:type="dcterms:W3CDTF">2023-07-07T09:20:00Z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64d1f5f3-af8a-40eb-a3b0-99f0f6f51b6c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