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8D34F" w14:textId="77777777" w:rsidR="00163CD1" w:rsidRDefault="00163CD1"/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872"/>
        <w:gridCol w:w="3686"/>
        <w:gridCol w:w="1843"/>
        <w:gridCol w:w="3089"/>
      </w:tblGrid>
      <w:tr w:rsidR="00F5319A" w:rsidRPr="00B75089" w14:paraId="389D7DA8" w14:textId="77777777" w:rsidTr="007944C6">
        <w:trPr>
          <w:trHeight w:val="265"/>
        </w:trPr>
        <w:tc>
          <w:tcPr>
            <w:tcW w:w="1872" w:type="dxa"/>
            <w:shd w:val="clear" w:color="auto" w:fill="D9D9D9" w:themeFill="background1" w:themeFillShade="D9"/>
          </w:tcPr>
          <w:p w14:paraId="1A17AC71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686" w:type="dxa"/>
          </w:tcPr>
          <w:p w14:paraId="193F1F0E" w14:textId="153F436A" w:rsidR="00F5319A" w:rsidRPr="00B75089" w:rsidRDefault="00C51FC0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Group </w:t>
            </w:r>
            <w:r w:rsidR="004D1283">
              <w:rPr>
                <w:rFonts w:ascii="Arial" w:hAnsi="Arial" w:cs="Arial"/>
                <w:sz w:val="20"/>
                <w:szCs w:val="20"/>
              </w:rPr>
              <w:t>Data Protection Officer (DPO)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259711D0" w14:textId="520B1A8E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Responsible </w:t>
            </w:r>
            <w:r w:rsidR="00B819D1">
              <w:rPr>
                <w:rFonts w:ascii="Arial" w:hAnsi="Arial" w:cs="Arial"/>
                <w:b/>
                <w:sz w:val="20"/>
                <w:szCs w:val="20"/>
              </w:rPr>
              <w:t>to:</w:t>
            </w:r>
          </w:p>
        </w:tc>
        <w:tc>
          <w:tcPr>
            <w:tcW w:w="3089" w:type="dxa"/>
            <w:shd w:val="clear" w:color="auto" w:fill="auto"/>
          </w:tcPr>
          <w:p w14:paraId="2F93151B" w14:textId="022C5F39" w:rsidR="00F5319A" w:rsidRPr="007944C6" w:rsidRDefault="007460A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4C6">
              <w:rPr>
                <w:rFonts w:ascii="Arial" w:hAnsi="Arial" w:cs="Arial"/>
                <w:sz w:val="20"/>
                <w:szCs w:val="20"/>
              </w:rPr>
              <w:t>Chief Risk Officer</w:t>
            </w:r>
          </w:p>
        </w:tc>
      </w:tr>
      <w:tr w:rsidR="00F5319A" w:rsidRPr="00B75089" w14:paraId="30F827EA" w14:textId="77777777" w:rsidTr="007944C6">
        <w:trPr>
          <w:trHeight w:val="278"/>
        </w:trPr>
        <w:tc>
          <w:tcPr>
            <w:tcW w:w="1872" w:type="dxa"/>
            <w:shd w:val="clear" w:color="auto" w:fill="D9D9D9" w:themeFill="background1" w:themeFillShade="D9"/>
          </w:tcPr>
          <w:p w14:paraId="0CEA6F80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686" w:type="dxa"/>
          </w:tcPr>
          <w:p w14:paraId="18C43055" w14:textId="7D1A7BE1" w:rsidR="00F5319A" w:rsidRPr="00B75089" w:rsidRDefault="004D128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Chief Executive Office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397EF483" w14:textId="77777777" w:rsidR="00F5319A" w:rsidRPr="00B75089" w:rsidRDefault="006219B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</w:t>
            </w:r>
            <w:r w:rsidR="00F5319A" w:rsidRPr="00B75089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89" w:type="dxa"/>
            <w:shd w:val="clear" w:color="auto" w:fill="auto"/>
          </w:tcPr>
          <w:p w14:paraId="567711F1" w14:textId="4E15E2EB" w:rsidR="00F5319A" w:rsidRPr="007944C6" w:rsidRDefault="007460A8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4C6">
              <w:rPr>
                <w:rFonts w:ascii="Arial" w:hAnsi="Arial" w:cs="Arial"/>
                <w:sz w:val="20"/>
                <w:szCs w:val="20"/>
              </w:rPr>
              <w:t>Risk</w:t>
            </w:r>
          </w:p>
        </w:tc>
      </w:tr>
      <w:tr w:rsidR="00F5319A" w:rsidRPr="00B75089" w14:paraId="2ECBB296" w14:textId="77777777" w:rsidTr="00530A08">
        <w:trPr>
          <w:trHeight w:val="265"/>
        </w:trPr>
        <w:tc>
          <w:tcPr>
            <w:tcW w:w="1872" w:type="dxa"/>
            <w:vMerge w:val="restart"/>
            <w:shd w:val="clear" w:color="auto" w:fill="D9D9D9" w:themeFill="background1" w:themeFillShade="D9"/>
          </w:tcPr>
          <w:p w14:paraId="3B1FFBEC" w14:textId="77777777" w:rsidR="00F5319A" w:rsidRPr="00B75089" w:rsidRDefault="00F5319A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686" w:type="dxa"/>
            <w:vMerge w:val="restart"/>
          </w:tcPr>
          <w:p w14:paraId="4795CAAE" w14:textId="45585990" w:rsidR="00F5319A" w:rsidRPr="00C238CB" w:rsidRDefault="00EA5F20" w:rsidP="00B75089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direct reports</w:t>
            </w:r>
          </w:p>
          <w:p w14:paraId="3C9F41AD" w14:textId="74500B23" w:rsidR="003714BF" w:rsidRPr="00C238CB" w:rsidRDefault="00C238CB" w:rsidP="00B75089">
            <w:pPr>
              <w:pStyle w:val="Header"/>
              <w:spacing w:after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C238CB">
              <w:rPr>
                <w:rFonts w:ascii="Arial" w:hAnsi="Arial" w:cs="Arial"/>
                <w:bCs/>
                <w:sz w:val="20"/>
                <w:szCs w:val="20"/>
              </w:rPr>
              <w:t xml:space="preserve">Indirect reports of </w:t>
            </w:r>
            <w:r>
              <w:rPr>
                <w:rFonts w:ascii="Arial" w:hAnsi="Arial" w:cs="Arial"/>
                <w:bCs/>
                <w:sz w:val="20"/>
                <w:szCs w:val="20"/>
              </w:rPr>
              <w:t>Data Protection Ambassadors and Champions</w:t>
            </w:r>
            <w:r w:rsidR="00EA5F20">
              <w:rPr>
                <w:rFonts w:ascii="Arial" w:hAnsi="Arial" w:cs="Arial"/>
                <w:bCs/>
                <w:sz w:val="20"/>
                <w:szCs w:val="20"/>
              </w:rPr>
              <w:t xml:space="preserve"> from across MPS</w:t>
            </w:r>
          </w:p>
          <w:p w14:paraId="588D5E56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4268DD03" w14:textId="00600C4A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</w:t>
            </w:r>
            <w:r w:rsidR="00B819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89" w:type="dxa"/>
          </w:tcPr>
          <w:p w14:paraId="5B38D838" w14:textId="77FA20A6" w:rsidR="00B75089" w:rsidRPr="00B75089" w:rsidRDefault="004D1283" w:rsidP="00B819D1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Global Data Protection compliance</w:t>
            </w:r>
          </w:p>
        </w:tc>
      </w:tr>
      <w:tr w:rsidR="00F5319A" w:rsidRPr="00B75089" w14:paraId="196E3408" w14:textId="77777777" w:rsidTr="00530A08">
        <w:trPr>
          <w:trHeight w:val="350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578F00F4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24247007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24EA78CA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3089" w:type="dxa"/>
          </w:tcPr>
          <w:p w14:paraId="5228925B" w14:textId="439B2AC1" w:rsidR="00F5319A" w:rsidRPr="00B75089" w:rsidRDefault="004D1283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5319A" w:rsidRPr="00B75089">
              <w:rPr>
                <w:rFonts w:ascii="Arial" w:hAnsi="Arial" w:cs="Arial"/>
                <w:sz w:val="20"/>
                <w:szCs w:val="20"/>
              </w:rPr>
              <w:t xml:space="preserve"> People</w:t>
            </w:r>
          </w:p>
          <w:p w14:paraId="4844FB6C" w14:textId="55543E4E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44C6">
              <w:rPr>
                <w:rFonts w:ascii="Arial" w:hAnsi="Arial" w:cs="Arial"/>
                <w:sz w:val="20"/>
                <w:szCs w:val="20"/>
              </w:rPr>
              <w:t>£xxx</w:t>
            </w:r>
            <w:r w:rsidRPr="00B75089">
              <w:rPr>
                <w:rFonts w:ascii="Arial" w:hAnsi="Arial" w:cs="Arial"/>
                <w:sz w:val="20"/>
                <w:szCs w:val="20"/>
              </w:rPr>
              <w:t xml:space="preserve"> Budget</w:t>
            </w:r>
          </w:p>
        </w:tc>
      </w:tr>
      <w:tr w:rsidR="00F5319A" w:rsidRPr="00B75089" w14:paraId="03EBB5A7" w14:textId="77777777" w:rsidTr="00530A08">
        <w:trPr>
          <w:trHeight w:val="381"/>
        </w:trPr>
        <w:tc>
          <w:tcPr>
            <w:tcW w:w="1872" w:type="dxa"/>
            <w:vMerge/>
            <w:shd w:val="clear" w:color="auto" w:fill="D9D9D9" w:themeFill="background1" w:themeFillShade="D9"/>
          </w:tcPr>
          <w:p w14:paraId="33CEC98F" w14:textId="77777777" w:rsidR="00F5319A" w:rsidRPr="00B75089" w:rsidRDefault="00F5319A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686" w:type="dxa"/>
            <w:vMerge/>
          </w:tcPr>
          <w:p w14:paraId="1F1744B3" w14:textId="77777777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14:paraId="5AB34105" w14:textId="7F4F2A78" w:rsidR="00F5319A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</w:t>
            </w:r>
            <w:r w:rsidR="00B819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89" w:type="dxa"/>
          </w:tcPr>
          <w:p w14:paraId="29D24D49" w14:textId="306C0EE2" w:rsidR="00F5319A" w:rsidRPr="00B75089" w:rsidRDefault="00F5319A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color w:val="000000" w:themeColor="text1"/>
                <w:sz w:val="20"/>
                <w:szCs w:val="20"/>
              </w:rPr>
              <w:t>Yes</w:t>
            </w:r>
            <w:r w:rsidR="004D1283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– Data Protection Office</w:t>
            </w:r>
            <w:r w:rsidR="00841B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(arti</w:t>
            </w:r>
            <w:r w:rsidR="003F26EC">
              <w:rPr>
                <w:rFonts w:ascii="Arial" w:hAnsi="Arial" w:cs="Arial"/>
                <w:color w:val="000000" w:themeColor="text1"/>
                <w:sz w:val="20"/>
                <w:szCs w:val="20"/>
              </w:rPr>
              <w:t>cle</w:t>
            </w:r>
            <w:r w:rsidR="00841B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37-3</w:t>
            </w:r>
            <w:r w:rsidR="003F26EC"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  <w:r w:rsidR="00841B1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of GDPR</w:t>
            </w:r>
            <w:r w:rsidR="003F26EC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</w:tc>
      </w:tr>
      <w:tr w:rsidR="007E7CA1" w:rsidRPr="00B75089" w14:paraId="05858D4D" w14:textId="77777777" w:rsidTr="00530A08">
        <w:trPr>
          <w:trHeight w:val="269"/>
        </w:trPr>
        <w:tc>
          <w:tcPr>
            <w:tcW w:w="1872" w:type="dxa"/>
            <w:shd w:val="clear" w:color="auto" w:fill="D9D9D9" w:themeFill="background1" w:themeFillShade="D9"/>
          </w:tcPr>
          <w:p w14:paraId="04A469C4" w14:textId="4C068AC9" w:rsidR="007E7CA1" w:rsidRPr="00B75089" w:rsidRDefault="007E7CA1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  <w:r w:rsidR="00B819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686" w:type="dxa"/>
          </w:tcPr>
          <w:p w14:paraId="327A2A1E" w14:textId="196112DD" w:rsidR="007E7CA1" w:rsidRPr="00B75089" w:rsidRDefault="00B819D1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 1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3AE974B" w14:textId="1B1D3EFF" w:rsidR="007E7CA1" w:rsidRPr="00B75089" w:rsidRDefault="007E7CA1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  <w:r w:rsidR="00B819D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089" w:type="dxa"/>
          </w:tcPr>
          <w:p w14:paraId="2BEEDC48" w14:textId="64F70EFF" w:rsidR="007E7CA1" w:rsidRPr="00B75089" w:rsidRDefault="007944C6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Group Corporate Functions</w:t>
            </w:r>
          </w:p>
        </w:tc>
      </w:tr>
    </w:tbl>
    <w:p w14:paraId="6F8A7FF6" w14:textId="77777777" w:rsidR="00F5319A" w:rsidRPr="00B819D1" w:rsidRDefault="00F5319A" w:rsidP="00B750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14:paraId="58130D78" w14:textId="77777777" w:rsidTr="00B819D1">
        <w:trPr>
          <w:trHeight w:val="287"/>
        </w:trPr>
        <w:tc>
          <w:tcPr>
            <w:tcW w:w="10509" w:type="dxa"/>
            <w:shd w:val="clear" w:color="auto" w:fill="D9D9D9" w:themeFill="background1" w:themeFillShade="D9"/>
          </w:tcPr>
          <w:p w14:paraId="76B9FC5A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</w:t>
            </w:r>
            <w:proofErr w:type="gramEnd"/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Role Purpose</w:t>
            </w:r>
          </w:p>
        </w:tc>
      </w:tr>
      <w:tr w:rsidR="009E22D0" w:rsidRPr="00B75089" w14:paraId="72B992CA" w14:textId="77777777" w:rsidTr="00B819D1">
        <w:trPr>
          <w:trHeight w:val="167"/>
        </w:trPr>
        <w:tc>
          <w:tcPr>
            <w:tcW w:w="10509" w:type="dxa"/>
          </w:tcPr>
          <w:p w14:paraId="326769DD" w14:textId="4C441DBE" w:rsidR="00FC4B4E" w:rsidRDefault="009868F3" w:rsidP="00B819D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The nature of MPS’s business means that </w:t>
            </w:r>
            <w:r w:rsidR="000901C9">
              <w:rPr>
                <w:rFonts w:ascii="Arial" w:hAnsi="Arial" w:cs="Arial"/>
                <w:noProof/>
                <w:sz w:val="20"/>
                <w:szCs w:val="20"/>
              </w:rPr>
              <w:t xml:space="preserve">we have access to highly personal and confidential data.  The good management </w:t>
            </w:r>
            <w:r w:rsidR="00F826C7">
              <w:rPr>
                <w:rFonts w:ascii="Arial" w:hAnsi="Arial" w:cs="Arial"/>
                <w:noProof/>
                <w:sz w:val="20"/>
                <w:szCs w:val="20"/>
              </w:rPr>
              <w:t xml:space="preserve">of this data is key to ensuring the </w:t>
            </w:r>
            <w:r w:rsidR="00FC4B4E">
              <w:rPr>
                <w:rFonts w:ascii="Arial" w:hAnsi="Arial" w:cs="Arial"/>
                <w:noProof/>
                <w:sz w:val="20"/>
                <w:szCs w:val="20"/>
              </w:rPr>
              <w:t xml:space="preserve">ongoing </w:t>
            </w:r>
            <w:r w:rsidR="00F826C7">
              <w:rPr>
                <w:rFonts w:ascii="Arial" w:hAnsi="Arial" w:cs="Arial"/>
                <w:noProof/>
                <w:sz w:val="20"/>
                <w:szCs w:val="20"/>
              </w:rPr>
              <w:t xml:space="preserve">confidence of our members and </w:t>
            </w:r>
            <w:r w:rsidR="00FC4B4E">
              <w:rPr>
                <w:rFonts w:ascii="Arial" w:hAnsi="Arial" w:cs="Arial"/>
                <w:noProof/>
                <w:sz w:val="20"/>
                <w:szCs w:val="20"/>
              </w:rPr>
              <w:t>stakeholders.</w:t>
            </w:r>
          </w:p>
          <w:p w14:paraId="095A7639" w14:textId="77777777" w:rsidR="00FC4B4E" w:rsidRDefault="00FC4B4E" w:rsidP="00B819D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65CEA29D" w14:textId="33EE3EB8" w:rsidR="001E2361" w:rsidRDefault="00FC4B4E" w:rsidP="00B819D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This role is to </w:t>
            </w:r>
            <w:r w:rsidR="00B819D1">
              <w:rPr>
                <w:rFonts w:ascii="Arial" w:hAnsi="Arial" w:cs="Arial"/>
                <w:noProof/>
                <w:sz w:val="20"/>
                <w:szCs w:val="20"/>
              </w:rPr>
              <w:t xml:space="preserve"> ensure </w:t>
            </w:r>
            <w:r w:rsidR="004D1283">
              <w:rPr>
                <w:rFonts w:ascii="Arial" w:hAnsi="Arial" w:cs="Arial"/>
                <w:noProof/>
                <w:sz w:val="20"/>
                <w:szCs w:val="20"/>
              </w:rPr>
              <w:t>MPS</w:t>
            </w:r>
            <w:r w:rsidR="004D1283" w:rsidRPr="008D234D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4D1283">
              <w:rPr>
                <w:rFonts w:ascii="Arial" w:hAnsi="Arial" w:cs="Arial"/>
                <w:noProof/>
                <w:sz w:val="20"/>
                <w:szCs w:val="20"/>
              </w:rPr>
              <w:t>is compliant with all requirements under GDPR</w:t>
            </w:r>
            <w:r w:rsidR="00B819D1">
              <w:rPr>
                <w:rFonts w:ascii="Arial" w:hAnsi="Arial" w:cs="Arial"/>
                <w:noProof/>
                <w:sz w:val="20"/>
                <w:szCs w:val="20"/>
              </w:rPr>
              <w:t xml:space="preserve"> - </w:t>
            </w:r>
            <w:r w:rsidR="004D1283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774838">
              <w:rPr>
                <w:rFonts w:ascii="Arial" w:hAnsi="Arial" w:cs="Arial"/>
                <w:noProof/>
                <w:sz w:val="20"/>
                <w:szCs w:val="20"/>
              </w:rPr>
              <w:t xml:space="preserve">The </w:t>
            </w:r>
            <w:r w:rsidR="00D05011">
              <w:rPr>
                <w:rFonts w:ascii="Arial" w:hAnsi="Arial" w:cs="Arial"/>
                <w:noProof/>
                <w:sz w:val="20"/>
                <w:szCs w:val="20"/>
              </w:rPr>
              <w:t xml:space="preserve">Subject Matter Expert </w:t>
            </w:r>
            <w:r w:rsidR="004D1283">
              <w:rPr>
                <w:rFonts w:ascii="Arial" w:hAnsi="Arial" w:cs="Arial"/>
                <w:noProof/>
                <w:sz w:val="20"/>
                <w:szCs w:val="20"/>
              </w:rPr>
              <w:t>advising Council, Boards, the Executive Committee and colleagues</w:t>
            </w:r>
            <w:r w:rsidR="00B819D1">
              <w:rPr>
                <w:rFonts w:ascii="Arial" w:hAnsi="Arial" w:cs="Arial"/>
                <w:noProof/>
                <w:sz w:val="20"/>
                <w:szCs w:val="20"/>
              </w:rPr>
              <w:t xml:space="preserve"> on GDPR matters</w:t>
            </w:r>
            <w:r w:rsidR="00D05011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  <w:p w14:paraId="22C3BD9E" w14:textId="77777777" w:rsidR="001E2361" w:rsidRDefault="001E2361" w:rsidP="00B819D1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  <w:p w14:paraId="1BEC23F0" w14:textId="6F675578" w:rsidR="009E22D0" w:rsidRDefault="000B52DA" w:rsidP="00B819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Ensuring MPS is compliant </w:t>
            </w:r>
            <w:r w:rsidR="00EB0889">
              <w:rPr>
                <w:rFonts w:ascii="Arial" w:hAnsi="Arial" w:cs="Arial"/>
                <w:sz w:val="20"/>
                <w:szCs w:val="20"/>
              </w:rPr>
              <w:t xml:space="preserve">across </w:t>
            </w:r>
            <w:r w:rsidR="00EB0889" w:rsidRPr="008D234D">
              <w:rPr>
                <w:rFonts w:ascii="Arial" w:hAnsi="Arial" w:cs="Arial"/>
                <w:sz w:val="20"/>
                <w:szCs w:val="20"/>
              </w:rPr>
              <w:t>the</w:t>
            </w:r>
            <w:r w:rsidR="00902DB2">
              <w:rPr>
                <w:rFonts w:ascii="Arial" w:hAnsi="Arial" w:cs="Arial"/>
                <w:sz w:val="20"/>
                <w:szCs w:val="20"/>
              </w:rPr>
              <w:t xml:space="preserve"> geog</w:t>
            </w:r>
            <w:r w:rsidR="002E667F">
              <w:rPr>
                <w:rFonts w:ascii="Arial" w:hAnsi="Arial" w:cs="Arial"/>
                <w:sz w:val="20"/>
                <w:szCs w:val="20"/>
              </w:rPr>
              <w:t xml:space="preserve">raphies and </w:t>
            </w:r>
            <w:r w:rsidR="00B819D1" w:rsidRPr="008D234D">
              <w:rPr>
                <w:rFonts w:ascii="Arial" w:hAnsi="Arial" w:cs="Arial"/>
                <w:sz w:val="20"/>
                <w:szCs w:val="20"/>
              </w:rPr>
              <w:t xml:space="preserve">jurisdictions in which </w:t>
            </w:r>
            <w:r w:rsidR="00B819D1">
              <w:rPr>
                <w:rFonts w:ascii="Arial" w:hAnsi="Arial" w:cs="Arial"/>
                <w:sz w:val="20"/>
                <w:szCs w:val="20"/>
              </w:rPr>
              <w:t>MPS</w:t>
            </w:r>
            <w:r w:rsidR="00B819D1" w:rsidRPr="008D234D">
              <w:rPr>
                <w:rFonts w:ascii="Arial" w:hAnsi="Arial" w:cs="Arial"/>
                <w:sz w:val="20"/>
                <w:szCs w:val="20"/>
              </w:rPr>
              <w:t xml:space="preserve"> operates</w:t>
            </w:r>
            <w:r w:rsidR="00B819D1">
              <w:rPr>
                <w:rFonts w:ascii="Arial" w:hAnsi="Arial" w:cs="Arial"/>
                <w:sz w:val="20"/>
                <w:szCs w:val="20"/>
              </w:rPr>
              <w:t xml:space="preserve"> or considers operating in</w:t>
            </w:r>
            <w:r w:rsidR="002E667F">
              <w:rPr>
                <w:rFonts w:ascii="Arial" w:hAnsi="Arial" w:cs="Arial"/>
                <w:sz w:val="20"/>
                <w:szCs w:val="20"/>
              </w:rPr>
              <w:t>; all</w:t>
            </w:r>
            <w:r w:rsidR="00EB0889">
              <w:rPr>
                <w:rFonts w:ascii="Arial" w:hAnsi="Arial" w:cs="Arial"/>
                <w:sz w:val="20"/>
                <w:szCs w:val="20"/>
              </w:rPr>
              <w:t xml:space="preserve"> third-party</w:t>
            </w:r>
            <w:r w:rsidR="002E66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591E">
              <w:rPr>
                <w:rFonts w:ascii="Arial" w:hAnsi="Arial" w:cs="Arial"/>
                <w:sz w:val="20"/>
                <w:szCs w:val="20"/>
              </w:rPr>
              <w:t xml:space="preserve">relationships and arrangements; </w:t>
            </w:r>
            <w:r w:rsidR="00120CED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="00EE496B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120CED">
              <w:rPr>
                <w:rFonts w:ascii="Arial" w:hAnsi="Arial" w:cs="Arial"/>
                <w:sz w:val="20"/>
                <w:szCs w:val="20"/>
              </w:rPr>
              <w:t>systems or processes.</w:t>
            </w:r>
          </w:p>
          <w:p w14:paraId="740E039B" w14:textId="77777777" w:rsidR="00120CED" w:rsidRDefault="00120CED" w:rsidP="00B819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CF8BD1" w14:textId="3D65894C" w:rsidR="00120CED" w:rsidRDefault="00120CED" w:rsidP="00B819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="00FD7002">
              <w:rPr>
                <w:rFonts w:ascii="Arial" w:hAnsi="Arial" w:cs="Arial"/>
                <w:sz w:val="20"/>
                <w:szCs w:val="20"/>
              </w:rPr>
              <w:t xml:space="preserve">ensure appropriate governance, systems and controls are in place to ensure </w:t>
            </w:r>
            <w:r w:rsidR="008F4093">
              <w:rPr>
                <w:rFonts w:ascii="Arial" w:hAnsi="Arial" w:cs="Arial"/>
                <w:sz w:val="20"/>
                <w:szCs w:val="20"/>
              </w:rPr>
              <w:t xml:space="preserve">the ongoing protection and management of our </w:t>
            </w:r>
            <w:r w:rsidR="006B254A">
              <w:rPr>
                <w:rFonts w:ascii="Arial" w:hAnsi="Arial" w:cs="Arial"/>
                <w:sz w:val="20"/>
                <w:szCs w:val="20"/>
              </w:rPr>
              <w:t>member’s p</w:t>
            </w:r>
            <w:r w:rsidR="008F4093">
              <w:rPr>
                <w:rFonts w:ascii="Arial" w:hAnsi="Arial" w:cs="Arial"/>
                <w:sz w:val="20"/>
                <w:szCs w:val="20"/>
              </w:rPr>
              <w:t>ersonal data</w:t>
            </w:r>
            <w:r w:rsidR="007460A8">
              <w:rPr>
                <w:rFonts w:ascii="Arial" w:hAnsi="Arial" w:cs="Arial"/>
                <w:sz w:val="20"/>
                <w:szCs w:val="20"/>
              </w:rPr>
              <w:t xml:space="preserve"> and our </w:t>
            </w:r>
            <w:r w:rsidR="00EB0889">
              <w:rPr>
                <w:rFonts w:ascii="Arial" w:hAnsi="Arial" w:cs="Arial"/>
                <w:sz w:val="20"/>
                <w:szCs w:val="20"/>
              </w:rPr>
              <w:t>employee’s</w:t>
            </w:r>
            <w:r w:rsidR="007460A8">
              <w:rPr>
                <w:rFonts w:ascii="Arial" w:hAnsi="Arial" w:cs="Arial"/>
                <w:sz w:val="20"/>
                <w:szCs w:val="20"/>
              </w:rPr>
              <w:t xml:space="preserve"> data</w:t>
            </w:r>
            <w:r w:rsidR="00EB088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DF88956" w14:textId="4EC91FA3" w:rsidR="006B254A" w:rsidRPr="00B819D1" w:rsidRDefault="006B254A" w:rsidP="00B819D1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441349C" w14:textId="77777777" w:rsidR="009E22D0" w:rsidRPr="00B819D1" w:rsidRDefault="009E22D0" w:rsidP="00B750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6800"/>
        <w:gridCol w:w="3687"/>
      </w:tblGrid>
      <w:tr w:rsidR="009E22D0" w:rsidRPr="00B75089" w14:paraId="6DC40F1C" w14:textId="77777777" w:rsidTr="00DE4E7C">
        <w:trPr>
          <w:trHeight w:val="70"/>
        </w:trPr>
        <w:tc>
          <w:tcPr>
            <w:tcW w:w="6800" w:type="dxa"/>
            <w:shd w:val="clear" w:color="auto" w:fill="D9D9D9" w:themeFill="background1" w:themeFillShade="D9"/>
          </w:tcPr>
          <w:p w14:paraId="70C5BEE0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687" w:type="dxa"/>
            <w:shd w:val="clear" w:color="auto" w:fill="D9D9D9" w:themeFill="background1" w:themeFillShade="D9"/>
          </w:tcPr>
          <w:p w14:paraId="1A774CA5" w14:textId="428B10EC" w:rsidR="009E22D0" w:rsidRPr="00B75089" w:rsidRDefault="009E22D0" w:rsidP="003D4ADE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</w:t>
            </w:r>
            <w:r w:rsidR="00B819D1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9E22D0" w:rsidRPr="00B75089" w14:paraId="3769CE49" w14:textId="77777777" w:rsidTr="00DE4E7C">
        <w:trPr>
          <w:trHeight w:val="578"/>
        </w:trPr>
        <w:tc>
          <w:tcPr>
            <w:tcW w:w="6800" w:type="dxa"/>
          </w:tcPr>
          <w:p w14:paraId="158495B8" w14:textId="54BA4783" w:rsidR="0056188D" w:rsidRPr="00243A5A" w:rsidRDefault="000719FC" w:rsidP="00B26AD1">
            <w:pPr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243A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Strategic</w:t>
            </w:r>
            <w:r w:rsidR="004D1283" w:rsidRPr="00243A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</w:t>
            </w:r>
            <w:r w:rsidR="0056188D" w:rsidRPr="00243A5A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Leadership </w:t>
            </w:r>
          </w:p>
          <w:p w14:paraId="1A7060BA" w14:textId="7D85F512" w:rsidR="00DE09EA" w:rsidRPr="00D17CF0" w:rsidRDefault="00BA4261" w:rsidP="00A2223F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74" w:hanging="218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Define, </w:t>
            </w:r>
            <w:proofErr w:type="gramStart"/>
            <w:r>
              <w:rPr>
                <w:rFonts w:ascii="Arial" w:eastAsia="Calibri" w:hAnsi="Arial" w:cs="Arial"/>
                <w:sz w:val="20"/>
                <w:szCs w:val="20"/>
              </w:rPr>
              <w:t>s</w:t>
            </w:r>
            <w:r w:rsidR="00D600AA" w:rsidRPr="00D17CF0">
              <w:rPr>
                <w:rFonts w:ascii="Arial" w:eastAsia="Calibri" w:hAnsi="Arial" w:cs="Arial"/>
                <w:sz w:val="20"/>
                <w:szCs w:val="20"/>
              </w:rPr>
              <w:t>et</w:t>
            </w:r>
            <w:proofErr w:type="gramEnd"/>
            <w:r w:rsidR="00D600AA" w:rsidRPr="00D17CF0">
              <w:rPr>
                <w:rFonts w:ascii="Arial" w:eastAsia="Calibri" w:hAnsi="Arial" w:cs="Arial"/>
                <w:sz w:val="20"/>
                <w:szCs w:val="20"/>
              </w:rPr>
              <w:t xml:space="preserve"> and oversee </w:t>
            </w:r>
            <w:r w:rsidR="0075462A" w:rsidRPr="00D17CF0">
              <w:rPr>
                <w:rFonts w:ascii="Arial" w:eastAsia="Calibri" w:hAnsi="Arial" w:cs="Arial"/>
                <w:sz w:val="20"/>
                <w:szCs w:val="20"/>
              </w:rPr>
              <w:t xml:space="preserve">the </w:t>
            </w:r>
            <w:r w:rsidR="00D14EA9" w:rsidRPr="00D17CF0">
              <w:rPr>
                <w:rFonts w:ascii="Arial" w:eastAsia="Calibri" w:hAnsi="Arial" w:cs="Arial"/>
                <w:sz w:val="20"/>
                <w:szCs w:val="20"/>
              </w:rPr>
              <w:t>delivery of the MPS data protection strategy</w:t>
            </w:r>
            <w:r w:rsidR="00D94818" w:rsidRPr="00D17CF0">
              <w:rPr>
                <w:rFonts w:ascii="Arial" w:eastAsia="Calibri" w:hAnsi="Arial" w:cs="Arial"/>
                <w:sz w:val="20"/>
                <w:szCs w:val="20"/>
              </w:rPr>
              <w:t>, the</w:t>
            </w:r>
            <w:r w:rsidR="00413154" w:rsidRPr="00D17CF0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r w:rsidR="00DC4C8E" w:rsidRPr="00D17CF0">
              <w:rPr>
                <w:rFonts w:ascii="Arial" w:hAnsi="Arial" w:cs="Arial"/>
                <w:sz w:val="20"/>
                <w:szCs w:val="20"/>
              </w:rPr>
              <w:t>Group Data Protection Policy, Data Protection Control Framework</w:t>
            </w:r>
            <w:r w:rsidR="009B0AC7" w:rsidRPr="00D17C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C8E" w:rsidRPr="00D17CF0">
              <w:rPr>
                <w:rFonts w:ascii="Arial" w:hAnsi="Arial" w:cs="Arial"/>
                <w:sz w:val="20"/>
                <w:szCs w:val="20"/>
              </w:rPr>
              <w:t>and all supporting standards</w:t>
            </w:r>
            <w:r w:rsidR="00D17CF0" w:rsidRPr="00D17CF0">
              <w:rPr>
                <w:rFonts w:ascii="Arial" w:hAnsi="Arial" w:cs="Arial"/>
                <w:sz w:val="20"/>
                <w:szCs w:val="20"/>
              </w:rPr>
              <w:t xml:space="preserve"> to </w:t>
            </w:r>
            <w:r w:rsidR="008B211A" w:rsidRPr="00D17CF0">
              <w:rPr>
                <w:rFonts w:ascii="Arial" w:eastAsia="Calibri" w:hAnsi="Arial" w:cs="Arial"/>
                <w:sz w:val="20"/>
                <w:szCs w:val="20"/>
              </w:rPr>
              <w:t xml:space="preserve">ensure </w:t>
            </w:r>
            <w:r w:rsidR="00D17CF0">
              <w:rPr>
                <w:rFonts w:ascii="Arial" w:hAnsi="Arial" w:cs="Arial"/>
                <w:noProof/>
                <w:sz w:val="20"/>
                <w:szCs w:val="20"/>
              </w:rPr>
              <w:t>compliance</w:t>
            </w:r>
            <w:r w:rsidR="00384D3A" w:rsidRPr="00D17CF0">
              <w:rPr>
                <w:rFonts w:ascii="Arial" w:hAnsi="Arial" w:cs="Arial"/>
                <w:noProof/>
                <w:sz w:val="20"/>
                <w:szCs w:val="20"/>
              </w:rPr>
              <w:t xml:space="preserve"> with all requirements under GDPR</w:t>
            </w:r>
            <w:r w:rsidR="00342A9F" w:rsidRPr="00D17CF0">
              <w:rPr>
                <w:rFonts w:ascii="Arial" w:hAnsi="Arial" w:cs="Arial"/>
                <w:noProof/>
                <w:sz w:val="20"/>
                <w:szCs w:val="20"/>
              </w:rPr>
              <w:t xml:space="preserve"> and other data protection laws</w:t>
            </w:r>
            <w:r w:rsidR="00636A52">
              <w:rPr>
                <w:rFonts w:ascii="Arial" w:hAnsi="Arial" w:cs="Arial"/>
                <w:noProof/>
                <w:sz w:val="20"/>
                <w:szCs w:val="20"/>
              </w:rPr>
              <w:t xml:space="preserve"> in all juri</w:t>
            </w:r>
            <w:r w:rsidR="00A14C12">
              <w:rPr>
                <w:rFonts w:ascii="Arial" w:hAnsi="Arial" w:cs="Arial"/>
                <w:noProof/>
                <w:sz w:val="20"/>
                <w:szCs w:val="20"/>
              </w:rPr>
              <w:t>sd</w:t>
            </w:r>
            <w:r w:rsidR="00031364">
              <w:rPr>
                <w:rFonts w:ascii="Arial" w:hAnsi="Arial" w:cs="Arial"/>
                <w:noProof/>
                <w:sz w:val="20"/>
                <w:szCs w:val="20"/>
              </w:rPr>
              <w:t>i</w:t>
            </w:r>
            <w:r w:rsidR="00636A52">
              <w:rPr>
                <w:rFonts w:ascii="Arial" w:hAnsi="Arial" w:cs="Arial"/>
                <w:noProof/>
                <w:sz w:val="20"/>
                <w:szCs w:val="20"/>
              </w:rPr>
              <w:t>s</w:t>
            </w:r>
            <w:r w:rsidR="00A14C12">
              <w:rPr>
                <w:rFonts w:ascii="Arial" w:hAnsi="Arial" w:cs="Arial"/>
                <w:noProof/>
                <w:sz w:val="20"/>
                <w:szCs w:val="20"/>
              </w:rPr>
              <w:t>tiction</w:t>
            </w:r>
            <w:r w:rsidR="00636A52">
              <w:rPr>
                <w:rFonts w:ascii="Arial" w:hAnsi="Arial" w:cs="Arial"/>
                <w:noProof/>
                <w:sz w:val="20"/>
                <w:szCs w:val="20"/>
              </w:rPr>
              <w:t xml:space="preserve">s, </w:t>
            </w:r>
            <w:r w:rsidR="00031364">
              <w:rPr>
                <w:rFonts w:ascii="Arial" w:hAnsi="Arial" w:cs="Arial"/>
                <w:noProof/>
                <w:sz w:val="20"/>
                <w:szCs w:val="20"/>
              </w:rPr>
              <w:t>systems and process, including third party relationships.</w:t>
            </w:r>
          </w:p>
          <w:p w14:paraId="0F5267A6" w14:textId="18FA7E2E" w:rsidR="00A2223F" w:rsidRPr="00A2223F" w:rsidRDefault="00A2223F" w:rsidP="00A2223F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74" w:hanging="218"/>
              <w:jc w:val="both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As the legal and regulatory </w:t>
            </w:r>
            <w:r w:rsidRPr="001C0E26">
              <w:rPr>
                <w:rFonts w:ascii="Arial" w:hAnsi="Arial" w:cs="Arial"/>
                <w:color w:val="000000"/>
                <w:sz w:val="20"/>
              </w:rPr>
              <w:t>landscape changes,</w:t>
            </w:r>
            <w:r w:rsidRPr="001C0E26">
              <w:rPr>
                <w:rFonts w:ascii="Arial" w:hAnsi="Arial" w:cs="Arial"/>
                <w:sz w:val="20"/>
                <w:szCs w:val="20"/>
              </w:rPr>
              <w:t xml:space="preserve"> keep abreast of evolving legislation and best practice and </w:t>
            </w:r>
            <w:r w:rsidRPr="001C0E26">
              <w:rPr>
                <w:rFonts w:ascii="Arial" w:hAnsi="Arial" w:cs="Arial"/>
                <w:color w:val="000000"/>
                <w:sz w:val="20"/>
                <w:szCs w:val="20"/>
              </w:rPr>
              <w:t xml:space="preserve">lead on the development, implementation and governance of new policies and </w:t>
            </w:r>
            <w:proofErr w:type="gramStart"/>
            <w:r w:rsidRPr="001C0E26">
              <w:rPr>
                <w:rFonts w:ascii="Arial" w:hAnsi="Arial" w:cs="Arial"/>
                <w:color w:val="000000"/>
                <w:sz w:val="20"/>
                <w:szCs w:val="20"/>
              </w:rPr>
              <w:t>procedures</w:t>
            </w:r>
            <w:proofErr w:type="gramEnd"/>
            <w:r w:rsidRPr="00A11E3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3A30597" w14:textId="5A93DA19" w:rsidR="00B819D1" w:rsidRDefault="00B87EE2" w:rsidP="00A2223F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74" w:hanging="218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 xml:space="preserve">Provide independent and expert </w:t>
            </w:r>
            <w:r w:rsidR="00454326">
              <w:rPr>
                <w:rFonts w:ascii="Arial" w:hAnsi="Arial" w:cs="Arial"/>
                <w:color w:val="000000" w:themeColor="text1"/>
                <w:sz w:val="20"/>
              </w:rPr>
              <w:t>advice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to</w:t>
            </w:r>
            <w:r w:rsidR="003D4ADE" w:rsidRPr="00AB2B01">
              <w:rPr>
                <w:rFonts w:ascii="Arial" w:hAnsi="Arial" w:cs="Arial"/>
                <w:color w:val="000000" w:themeColor="text1"/>
                <w:sz w:val="20"/>
              </w:rPr>
              <w:t xml:space="preserve"> the </w:t>
            </w:r>
            <w:r w:rsidR="00B819D1">
              <w:rPr>
                <w:rFonts w:ascii="Arial" w:hAnsi="Arial" w:cs="Arial"/>
                <w:color w:val="000000" w:themeColor="text1"/>
                <w:sz w:val="20"/>
              </w:rPr>
              <w:t xml:space="preserve">Executive, leaders and colleagues </w:t>
            </w:r>
            <w:r w:rsidR="00B819D1" w:rsidRPr="00AB2B01">
              <w:rPr>
                <w:rFonts w:ascii="Arial" w:hAnsi="Arial" w:cs="Arial"/>
                <w:color w:val="000000" w:themeColor="text1"/>
                <w:sz w:val="20"/>
              </w:rPr>
              <w:t xml:space="preserve">on </w:t>
            </w:r>
            <w:r w:rsidR="00B819D1">
              <w:rPr>
                <w:rFonts w:ascii="Arial" w:hAnsi="Arial" w:cs="Arial"/>
                <w:color w:val="000000" w:themeColor="text1"/>
                <w:sz w:val="20"/>
              </w:rPr>
              <w:t xml:space="preserve">all applicable data protection </w:t>
            </w:r>
            <w:r>
              <w:rPr>
                <w:rFonts w:ascii="Arial" w:hAnsi="Arial" w:cs="Arial"/>
                <w:color w:val="000000" w:themeColor="text1"/>
                <w:sz w:val="20"/>
              </w:rPr>
              <w:t>obligations a</w:t>
            </w:r>
            <w:r w:rsidR="00B819D1">
              <w:rPr>
                <w:rFonts w:ascii="Arial" w:hAnsi="Arial" w:cs="Arial"/>
                <w:color w:val="000000" w:themeColor="text1"/>
                <w:sz w:val="20"/>
              </w:rPr>
              <w:t xml:space="preserve">nd </w:t>
            </w:r>
            <w:r w:rsidR="00B819D1" w:rsidRPr="00AB2B01">
              <w:rPr>
                <w:rFonts w:ascii="Arial" w:hAnsi="Arial" w:cs="Arial"/>
                <w:color w:val="000000" w:themeColor="text1"/>
                <w:sz w:val="20"/>
              </w:rPr>
              <w:t>on how th</w:t>
            </w:r>
            <w:r w:rsidR="00B819D1">
              <w:rPr>
                <w:rFonts w:ascii="Arial" w:hAnsi="Arial" w:cs="Arial"/>
                <w:color w:val="000000" w:themeColor="text1"/>
                <w:sz w:val="20"/>
              </w:rPr>
              <w:t>ese</w:t>
            </w:r>
            <w:r w:rsidR="00B819D1" w:rsidRPr="00AB2B0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B819D1">
              <w:rPr>
                <w:rFonts w:ascii="Arial" w:hAnsi="Arial" w:cs="Arial"/>
                <w:color w:val="000000" w:themeColor="text1"/>
                <w:sz w:val="20"/>
              </w:rPr>
              <w:t>responsibilities must</w:t>
            </w:r>
            <w:r w:rsidR="00B819D1" w:rsidRPr="00AB2B01">
              <w:rPr>
                <w:rFonts w:ascii="Arial" w:hAnsi="Arial" w:cs="Arial"/>
                <w:color w:val="000000" w:themeColor="text1"/>
                <w:sz w:val="20"/>
              </w:rPr>
              <w:t xml:space="preserve"> be discharged </w:t>
            </w:r>
            <w:r w:rsidR="00B819D1">
              <w:rPr>
                <w:rFonts w:ascii="Arial" w:hAnsi="Arial" w:cs="Arial"/>
                <w:color w:val="000000" w:themeColor="text1"/>
                <w:sz w:val="20"/>
              </w:rPr>
              <w:t xml:space="preserve">to ensure </w:t>
            </w:r>
            <w:proofErr w:type="gramStart"/>
            <w:r w:rsidR="00B819D1">
              <w:rPr>
                <w:rFonts w:ascii="Arial" w:hAnsi="Arial" w:cs="Arial"/>
                <w:color w:val="000000" w:themeColor="text1"/>
                <w:sz w:val="20"/>
              </w:rPr>
              <w:t>compliance</w:t>
            </w:r>
            <w:proofErr w:type="gramEnd"/>
          </w:p>
          <w:p w14:paraId="3DD0B674" w14:textId="2CC8042A" w:rsidR="003D4ADE" w:rsidRDefault="00B819D1" w:rsidP="00B073A0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74" w:hanging="174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B819D1">
              <w:rPr>
                <w:rFonts w:ascii="Arial" w:hAnsi="Arial" w:cs="Arial"/>
                <w:color w:val="000000" w:themeColor="text1"/>
                <w:sz w:val="20"/>
              </w:rPr>
              <w:t xml:space="preserve">Report to the </w:t>
            </w:r>
            <w:r w:rsidR="003D4ADE" w:rsidRPr="00B819D1">
              <w:rPr>
                <w:rFonts w:ascii="Arial" w:hAnsi="Arial" w:cs="Arial"/>
                <w:color w:val="000000" w:themeColor="text1"/>
                <w:sz w:val="20"/>
              </w:rPr>
              <w:t xml:space="preserve">Chair, MPS Council, </w:t>
            </w:r>
            <w:proofErr w:type="gramStart"/>
            <w:r w:rsidR="003D4ADE" w:rsidRPr="00B819D1">
              <w:rPr>
                <w:rFonts w:ascii="Arial" w:hAnsi="Arial" w:cs="Arial"/>
                <w:color w:val="000000" w:themeColor="text1"/>
                <w:sz w:val="20"/>
              </w:rPr>
              <w:t>boards</w:t>
            </w:r>
            <w:proofErr w:type="gramEnd"/>
            <w:r w:rsidR="003D4ADE" w:rsidRPr="00B819D1">
              <w:rPr>
                <w:rFonts w:ascii="Arial" w:hAnsi="Arial" w:cs="Arial"/>
                <w:color w:val="000000" w:themeColor="text1"/>
                <w:sz w:val="20"/>
              </w:rPr>
              <w:t xml:space="preserve"> and Council sub-committees 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on </w:t>
            </w:r>
            <w:r w:rsidR="009D1333">
              <w:rPr>
                <w:rFonts w:ascii="Arial" w:hAnsi="Arial" w:cs="Arial"/>
                <w:color w:val="000000" w:themeColor="text1"/>
                <w:sz w:val="20"/>
              </w:rPr>
              <w:t>MPS’ compliance of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GDPR </w:t>
            </w:r>
            <w:r w:rsidR="009D1333">
              <w:rPr>
                <w:rFonts w:ascii="Arial" w:hAnsi="Arial" w:cs="Arial"/>
                <w:color w:val="000000" w:themeColor="text1"/>
                <w:sz w:val="20"/>
              </w:rPr>
              <w:t>and related matters</w:t>
            </w:r>
          </w:p>
          <w:p w14:paraId="10548DF0" w14:textId="27F7F6B9" w:rsidR="00B87EE2" w:rsidRDefault="00514B6D" w:rsidP="00B073A0">
            <w:pPr>
              <w:pStyle w:val="ListParagraph"/>
              <w:numPr>
                <w:ilvl w:val="0"/>
                <w:numId w:val="14"/>
              </w:numPr>
              <w:spacing w:before="0" w:beforeAutospacing="0" w:after="0" w:afterAutospacing="0"/>
              <w:ind w:left="174" w:hanging="174"/>
              <w:contextualSpacing w:val="0"/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</w:rPr>
              <w:t>Oversee</w:t>
            </w:r>
            <w:r w:rsidR="00D14417">
              <w:rPr>
                <w:rFonts w:ascii="Arial" w:hAnsi="Arial" w:cs="Arial"/>
                <w:color w:val="000000" w:themeColor="text1"/>
                <w:sz w:val="20"/>
              </w:rPr>
              <w:t>,</w:t>
            </w:r>
            <w:r>
              <w:rPr>
                <w:rFonts w:ascii="Arial" w:hAnsi="Arial" w:cs="Arial"/>
                <w:color w:val="000000" w:themeColor="text1"/>
                <w:sz w:val="20"/>
              </w:rPr>
              <w:t xml:space="preserve"> m</w:t>
            </w:r>
            <w:r w:rsidR="00B87EE2">
              <w:rPr>
                <w:rFonts w:ascii="Arial" w:hAnsi="Arial" w:cs="Arial"/>
                <w:color w:val="000000" w:themeColor="text1"/>
                <w:sz w:val="20"/>
              </w:rPr>
              <w:t>onitor and provide advice on Data Protection Impact Assessments</w:t>
            </w:r>
            <w:r w:rsidR="00B87E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D4BF3">
              <w:rPr>
                <w:rFonts w:ascii="Arial" w:hAnsi="Arial" w:cs="Arial"/>
                <w:color w:val="000000"/>
                <w:sz w:val="20"/>
                <w:szCs w:val="20"/>
              </w:rPr>
              <w:t>undertaken in</w:t>
            </w:r>
            <w:r w:rsidR="00B87E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2D0731">
              <w:rPr>
                <w:rFonts w:ascii="Arial" w:hAnsi="Arial" w:cs="Arial"/>
                <w:color w:val="000000"/>
                <w:sz w:val="20"/>
                <w:szCs w:val="20"/>
              </w:rPr>
              <w:t>the jurisdictions</w:t>
            </w:r>
            <w:r w:rsidR="00B87EE2">
              <w:rPr>
                <w:rFonts w:ascii="Arial" w:hAnsi="Arial" w:cs="Arial"/>
                <w:color w:val="000000"/>
                <w:sz w:val="20"/>
                <w:szCs w:val="20"/>
              </w:rPr>
              <w:t xml:space="preserve"> in which we </w:t>
            </w:r>
            <w:proofErr w:type="gramStart"/>
            <w:r w:rsidR="00B87EE2">
              <w:rPr>
                <w:rFonts w:ascii="Arial" w:hAnsi="Arial" w:cs="Arial"/>
                <w:color w:val="000000"/>
                <w:sz w:val="20"/>
                <w:szCs w:val="20"/>
              </w:rPr>
              <w:t>operate</w:t>
            </w:r>
            <w:proofErr w:type="gramEnd"/>
            <w:r w:rsidR="00B87EE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5ED32AF5" w14:textId="24AA5BF7" w:rsidR="00D54284" w:rsidRDefault="00D54284" w:rsidP="00B073A0">
            <w:pPr>
              <w:pStyle w:val="ListParagraph"/>
              <w:numPr>
                <w:ilvl w:val="0"/>
                <w:numId w:val="14"/>
              </w:numPr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Assist</w:t>
            </w:r>
            <w:r w:rsidR="000C5D4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and advise the data controllers</w:t>
            </w:r>
            <w:r w:rsidR="000C5D43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processors </w:t>
            </w:r>
            <w:r w:rsidR="000C5D43">
              <w:rPr>
                <w:rFonts w:ascii="Arial" w:hAnsi="Arial" w:cs="Arial"/>
                <w:sz w:val="20"/>
                <w:szCs w:val="20"/>
              </w:rPr>
              <w:t>o</w:t>
            </w:r>
            <w:r>
              <w:rPr>
                <w:rFonts w:ascii="Arial" w:hAnsi="Arial" w:cs="Arial"/>
                <w:sz w:val="20"/>
                <w:szCs w:val="20"/>
              </w:rPr>
              <w:t xml:space="preserve">n all </w:t>
            </w:r>
            <w:r w:rsidR="000C5D43">
              <w:rPr>
                <w:rFonts w:ascii="Arial" w:hAnsi="Arial" w:cs="Arial"/>
                <w:sz w:val="20"/>
                <w:szCs w:val="20"/>
              </w:rPr>
              <w:t>matters related</w:t>
            </w:r>
            <w:r>
              <w:rPr>
                <w:rFonts w:ascii="Arial" w:hAnsi="Arial" w:cs="Arial"/>
                <w:sz w:val="20"/>
                <w:szCs w:val="20"/>
              </w:rPr>
              <w:t xml:space="preserve"> to the protection of personal data and ensure they fully understand their obligations under data protection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laws</w:t>
            </w:r>
            <w:proofErr w:type="gramEnd"/>
          </w:p>
          <w:p w14:paraId="5A8E598F" w14:textId="615ECEBC" w:rsidR="000061B7" w:rsidRPr="00FF78E4" w:rsidRDefault="00556893" w:rsidP="005C3F69">
            <w:pPr>
              <w:pStyle w:val="ListParagraph"/>
              <w:numPr>
                <w:ilvl w:val="0"/>
                <w:numId w:val="14"/>
              </w:numPr>
              <w:spacing w:after="0" w:afterAutospacing="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Act as first point of contact with the Information Commissioner’s Office </w:t>
            </w:r>
            <w:r w:rsidR="007D3A86">
              <w:rPr>
                <w:rFonts w:ascii="Arial" w:hAnsi="Arial" w:cs="Arial"/>
                <w:color w:val="000000"/>
                <w:sz w:val="20"/>
                <w:szCs w:val="20"/>
              </w:rPr>
              <w:t xml:space="preserve">(ICO)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other equivalent data protection offices in relevant </w:t>
            </w:r>
            <w:r w:rsidR="007A7C42">
              <w:rPr>
                <w:rFonts w:ascii="Arial" w:hAnsi="Arial" w:cs="Arial"/>
                <w:color w:val="000000"/>
                <w:sz w:val="20"/>
                <w:szCs w:val="20"/>
              </w:rPr>
              <w:t>jurisdictions</w:t>
            </w:r>
            <w:r w:rsidR="00422E37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5C56CFE0" w14:textId="1B16F3A9" w:rsidR="00FF78E4" w:rsidRPr="003E5744" w:rsidRDefault="00FF78E4" w:rsidP="00FF78E4">
            <w:pPr>
              <w:pStyle w:val="ListParagraph"/>
              <w:spacing w:after="0" w:afterAutospacing="0"/>
              <w:ind w:left="1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</w:tcPr>
          <w:p w14:paraId="0BE0D428" w14:textId="2963CFD3" w:rsidR="00C91CFA" w:rsidRDefault="00CA0574" w:rsidP="000532A4">
            <w:pPr>
              <w:pStyle w:val="ListParagraph"/>
              <w:numPr>
                <w:ilvl w:val="0"/>
                <w:numId w:val="6"/>
              </w:numPr>
              <w:ind w:left="210" w:hanging="21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GDPR compliance from </w:t>
            </w:r>
            <w:r w:rsidR="00F2718E">
              <w:rPr>
                <w:rFonts w:ascii="Arial" w:eastAsia="Calibri" w:hAnsi="Arial" w:cs="Arial"/>
                <w:sz w:val="20"/>
                <w:szCs w:val="20"/>
              </w:rPr>
              <w:t>a</w:t>
            </w:r>
            <w:r w:rsidR="009152ED">
              <w:rPr>
                <w:rFonts w:ascii="Arial" w:eastAsia="Calibri" w:hAnsi="Arial" w:cs="Arial"/>
                <w:sz w:val="20"/>
                <w:szCs w:val="20"/>
              </w:rPr>
              <w:t>udit outcomes</w:t>
            </w:r>
          </w:p>
          <w:p w14:paraId="3DF1C187" w14:textId="221E0F87" w:rsidR="009152ED" w:rsidRPr="007E55E3" w:rsidRDefault="007E55E3" w:rsidP="009152ED">
            <w:pPr>
              <w:pStyle w:val="ListParagraph"/>
              <w:numPr>
                <w:ilvl w:val="0"/>
                <w:numId w:val="6"/>
              </w:numPr>
              <w:ind w:left="210" w:hanging="210"/>
              <w:rPr>
                <w:rFonts w:ascii="Arial" w:eastAsia="Calibri" w:hAnsi="Arial" w:cs="Arial"/>
                <w:sz w:val="20"/>
                <w:szCs w:val="20"/>
              </w:rPr>
            </w:pPr>
            <w:r w:rsidRPr="007E55E3">
              <w:rPr>
                <w:rFonts w:ascii="Arial" w:eastAsia="Calibri" w:hAnsi="Arial" w:cs="Arial"/>
                <w:sz w:val="20"/>
                <w:szCs w:val="20"/>
              </w:rPr>
              <w:t>Executive feedback</w:t>
            </w:r>
          </w:p>
          <w:p w14:paraId="3608E88F" w14:textId="77777777" w:rsidR="009E22D0" w:rsidRPr="001D0FA3" w:rsidRDefault="00C91CFA" w:rsidP="000532A4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Council feedback.</w:t>
            </w:r>
          </w:p>
          <w:p w14:paraId="4CB53D1E" w14:textId="77777777" w:rsidR="001D0FA3" w:rsidRDefault="00F2718E" w:rsidP="000532A4">
            <w:pPr>
              <w:pStyle w:val="ListParagraph"/>
              <w:numPr>
                <w:ilvl w:val="0"/>
                <w:numId w:val="6"/>
              </w:numPr>
              <w:ind w:left="210" w:hanging="21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Quality of DPIA</w:t>
            </w:r>
          </w:p>
          <w:p w14:paraId="3C08C491" w14:textId="1D456BE4" w:rsidR="007D3A86" w:rsidRPr="003D4ADE" w:rsidRDefault="007D3A86" w:rsidP="000532A4">
            <w:pPr>
              <w:pStyle w:val="ListParagraph"/>
              <w:numPr>
                <w:ilvl w:val="0"/>
                <w:numId w:val="6"/>
              </w:numPr>
              <w:ind w:left="210" w:hanging="210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ICO investigation outcomes</w:t>
            </w:r>
          </w:p>
        </w:tc>
      </w:tr>
      <w:tr w:rsidR="009E22D0" w:rsidRPr="00B75089" w14:paraId="1ABC0E5D" w14:textId="77777777" w:rsidTr="00DE4E7C">
        <w:trPr>
          <w:trHeight w:val="578"/>
        </w:trPr>
        <w:tc>
          <w:tcPr>
            <w:tcW w:w="6800" w:type="dxa"/>
          </w:tcPr>
          <w:p w14:paraId="711B97AA" w14:textId="77777777" w:rsidR="009E22D0" w:rsidRPr="00B75089" w:rsidRDefault="009E22D0" w:rsidP="009D13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14:paraId="5CFE97DF" w14:textId="272A77F1" w:rsidR="00E804CF" w:rsidRPr="00F02B7B" w:rsidRDefault="00E804CF" w:rsidP="00E804CF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174" w:hanging="17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B7B">
              <w:rPr>
                <w:rFonts w:ascii="Arial" w:hAnsi="Arial" w:cs="Arial"/>
                <w:sz w:val="20"/>
                <w:szCs w:val="20"/>
              </w:rPr>
              <w:t xml:space="preserve">Oversee investigations into data breaches and monitor any remedial actions to ensure future breaches are avoided </w:t>
            </w:r>
            <w:r>
              <w:rPr>
                <w:rFonts w:ascii="Arial" w:hAnsi="Arial" w:cs="Arial"/>
                <w:sz w:val="20"/>
                <w:szCs w:val="20"/>
              </w:rPr>
              <w:t xml:space="preserve">and business </w:t>
            </w:r>
            <w:r w:rsidR="002A366C">
              <w:rPr>
                <w:rFonts w:ascii="Arial" w:hAnsi="Arial" w:cs="Arial"/>
                <w:sz w:val="20"/>
                <w:szCs w:val="20"/>
              </w:rPr>
              <w:t>risks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mitigated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5E1FD3D" w14:textId="6F8F0D1B" w:rsidR="00FF78E4" w:rsidRDefault="009D1333" w:rsidP="00E804CF">
            <w:pPr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174" w:hanging="174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  <w:r w:rsidRPr="00171BE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Set and </w:t>
            </w:r>
            <w:r w:rsidR="00880C3C" w:rsidRPr="00171BE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deliver the Data Protection </w:t>
            </w:r>
            <w:r w:rsidR="00171BE7" w:rsidRPr="00171BE7"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>operational budget.</w:t>
            </w:r>
            <w:r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  <w:t xml:space="preserve"> </w:t>
            </w:r>
          </w:p>
          <w:p w14:paraId="02A565F2" w14:textId="35505537" w:rsidR="00FF78E4" w:rsidRPr="00FF78E4" w:rsidRDefault="00FF78E4" w:rsidP="00FF78E4">
            <w:pPr>
              <w:shd w:val="clear" w:color="auto" w:fill="FFFFFF"/>
              <w:spacing w:after="100" w:afterAutospacing="1" w:line="240" w:lineRule="auto"/>
              <w:ind w:left="33"/>
              <w:jc w:val="both"/>
              <w:rPr>
                <w:rFonts w:ascii="Arial" w:eastAsiaTheme="minorHAnsi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687" w:type="dxa"/>
          </w:tcPr>
          <w:p w14:paraId="16263CFA" w14:textId="44585BCA" w:rsidR="009E22D0" w:rsidRDefault="00264E7D" w:rsidP="000532A4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breach / incident outcomes</w:t>
            </w:r>
          </w:p>
          <w:p w14:paraId="244F8C09" w14:textId="2B0180AF" w:rsidR="00171BE7" w:rsidRPr="004B42B1" w:rsidRDefault="00171BE7" w:rsidP="000532A4">
            <w:pPr>
              <w:pStyle w:val="ListParagraph"/>
              <w:numPr>
                <w:ilvl w:val="0"/>
                <w:numId w:val="15"/>
              </w:numPr>
              <w:spacing w:before="0" w:beforeAutospacing="0" w:after="0" w:afterAutospacing="0"/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Opex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Vs </w:t>
            </w:r>
            <w:r w:rsidR="00105A55">
              <w:rPr>
                <w:rFonts w:ascii="Arial" w:hAnsi="Arial" w:cs="Arial"/>
                <w:sz w:val="20"/>
                <w:szCs w:val="20"/>
              </w:rPr>
              <w:t>Budget</w:t>
            </w:r>
          </w:p>
        </w:tc>
      </w:tr>
      <w:tr w:rsidR="009E22D0" w:rsidRPr="00B75089" w14:paraId="1C2AEB35" w14:textId="77777777" w:rsidTr="00DE4E7C">
        <w:trPr>
          <w:trHeight w:val="578"/>
        </w:trPr>
        <w:tc>
          <w:tcPr>
            <w:tcW w:w="6800" w:type="dxa"/>
          </w:tcPr>
          <w:p w14:paraId="3B7FB823" w14:textId="77777777" w:rsidR="009E22D0" w:rsidRDefault="009E22D0" w:rsidP="009D133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Member</w:t>
            </w:r>
          </w:p>
          <w:p w14:paraId="4904D8C9" w14:textId="77777777" w:rsidR="005E7E9D" w:rsidRPr="001839B5" w:rsidRDefault="005E7E9D" w:rsidP="000716BB">
            <w:pPr>
              <w:pStyle w:val="ListParagraph"/>
              <w:numPr>
                <w:ilvl w:val="0"/>
                <w:numId w:val="16"/>
              </w:numPr>
              <w:spacing w:before="0" w:beforeAutospacing="0"/>
              <w:ind w:left="174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Act as a contact point for request from individuals regarding the processing of their personal data and the exercise of their rights.</w:t>
            </w:r>
          </w:p>
          <w:p w14:paraId="1BA297CE" w14:textId="77777777" w:rsidR="000061B7" w:rsidRDefault="003D4ADE" w:rsidP="000716BB">
            <w:pPr>
              <w:pStyle w:val="ListParagraph"/>
              <w:numPr>
                <w:ilvl w:val="0"/>
                <w:numId w:val="16"/>
              </w:numPr>
              <w:spacing w:after="0" w:afterAutospacing="0"/>
              <w:ind w:left="174" w:hanging="1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2B7B">
              <w:rPr>
                <w:rFonts w:ascii="Arial" w:hAnsi="Arial" w:cs="Arial"/>
                <w:sz w:val="20"/>
                <w:szCs w:val="20"/>
              </w:rPr>
              <w:t>Support colleagues</w:t>
            </w:r>
            <w:r w:rsidR="005739E5" w:rsidRPr="00F02B7B">
              <w:rPr>
                <w:rFonts w:ascii="Arial" w:hAnsi="Arial" w:cs="Arial"/>
                <w:sz w:val="20"/>
                <w:szCs w:val="20"/>
              </w:rPr>
              <w:t xml:space="preserve"> to ensure fair treatment and outcomes for members and compliance with associated policies and standards set out by Council, its </w:t>
            </w:r>
            <w:proofErr w:type="gramStart"/>
            <w:r w:rsidR="005739E5" w:rsidRPr="00F02B7B">
              <w:rPr>
                <w:rFonts w:ascii="Arial" w:hAnsi="Arial" w:cs="Arial"/>
                <w:sz w:val="20"/>
                <w:szCs w:val="20"/>
              </w:rPr>
              <w:t>committees</w:t>
            </w:r>
            <w:proofErr w:type="gramEnd"/>
            <w:r w:rsidR="005739E5" w:rsidRPr="00F02B7B">
              <w:rPr>
                <w:rFonts w:ascii="Arial" w:hAnsi="Arial" w:cs="Arial"/>
                <w:sz w:val="20"/>
                <w:szCs w:val="20"/>
              </w:rPr>
              <w:t xml:space="preserve"> and delegated authorities.</w:t>
            </w:r>
          </w:p>
          <w:p w14:paraId="6AC0451E" w14:textId="24A2FBCC" w:rsidR="00FF78E4" w:rsidRPr="00B75089" w:rsidRDefault="00FF78E4" w:rsidP="00FF78E4">
            <w:pPr>
              <w:pStyle w:val="ListParagraph"/>
              <w:spacing w:after="0" w:afterAutospacing="0"/>
              <w:ind w:left="17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</w:tcPr>
          <w:p w14:paraId="2F6A4D79" w14:textId="3BCD8D92" w:rsidR="009E22D0" w:rsidRPr="00B75089" w:rsidRDefault="00081A3B" w:rsidP="000532A4">
            <w:pPr>
              <w:pStyle w:val="ListParagraph"/>
              <w:numPr>
                <w:ilvl w:val="0"/>
                <w:numId w:val="16"/>
              </w:numPr>
              <w:spacing w:before="0" w:beforeAutospacing="0" w:after="0" w:afterAutospacing="0"/>
              <w:ind w:left="210" w:hanging="21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Subject Access Requests vs SLAs</w:t>
            </w:r>
          </w:p>
        </w:tc>
      </w:tr>
      <w:tr w:rsidR="009E22D0" w:rsidRPr="00B75089" w14:paraId="7A952952" w14:textId="77777777" w:rsidTr="00DE4E7C">
        <w:trPr>
          <w:trHeight w:val="591"/>
        </w:trPr>
        <w:tc>
          <w:tcPr>
            <w:tcW w:w="6800" w:type="dxa"/>
          </w:tcPr>
          <w:p w14:paraId="358E1856" w14:textId="59249ABF" w:rsidR="00DE09EA" w:rsidRDefault="009E22D0" w:rsidP="009D1333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 w:rsidRPr="00DE09EA">
              <w:rPr>
                <w:rFonts w:ascii="Arial" w:hAnsi="Arial" w:cs="Arial"/>
                <w:b/>
                <w:sz w:val="20"/>
                <w:szCs w:val="20"/>
              </w:rPr>
              <w:t>People</w:t>
            </w:r>
            <w:r w:rsidR="00DE09EA" w:rsidRPr="00DE09E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DE09EA" w:rsidRPr="00DE09EA">
              <w:rPr>
                <w:rFonts w:ascii="Arial" w:eastAsia="Calibri" w:hAnsi="Arial" w:cs="Arial"/>
                <w:sz w:val="20"/>
                <w:szCs w:val="20"/>
                <w:lang w:eastAsia="en-US"/>
              </w:rPr>
              <w:tab/>
            </w:r>
          </w:p>
          <w:p w14:paraId="7FF5531C" w14:textId="6684B0CD" w:rsidR="00B87EE2" w:rsidRPr="00DE4E7C" w:rsidRDefault="00B87EE2" w:rsidP="00D54284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74" w:hanging="174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E4E7C">
              <w:rPr>
                <w:rFonts w:ascii="Arial" w:hAnsi="Arial" w:cs="Arial"/>
                <w:color w:val="000000"/>
                <w:sz w:val="20"/>
                <w:szCs w:val="20"/>
              </w:rPr>
              <w:t xml:space="preserve">Advise </w:t>
            </w:r>
            <w:r w:rsidR="0080011B" w:rsidRPr="00DE4E7C">
              <w:rPr>
                <w:rFonts w:ascii="Arial" w:hAnsi="Arial" w:cs="Arial"/>
                <w:color w:val="000000"/>
                <w:sz w:val="20"/>
                <w:szCs w:val="20"/>
              </w:rPr>
              <w:t>on learning content to</w:t>
            </w:r>
            <w:r w:rsidR="00DE4E7C" w:rsidRPr="00DE4E7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E4E7C">
              <w:rPr>
                <w:rFonts w:ascii="Arial" w:hAnsi="Arial" w:cs="Arial"/>
                <w:color w:val="000000"/>
                <w:sz w:val="20"/>
                <w:szCs w:val="20"/>
              </w:rPr>
              <w:t xml:space="preserve">build capability across MPS on our obligations to comply with the UK GDPR and other data protection </w:t>
            </w:r>
            <w:proofErr w:type="gramStart"/>
            <w:r w:rsidRPr="00DE4E7C">
              <w:rPr>
                <w:rFonts w:ascii="Arial" w:hAnsi="Arial" w:cs="Arial"/>
                <w:color w:val="000000"/>
                <w:sz w:val="20"/>
                <w:szCs w:val="20"/>
              </w:rPr>
              <w:t>laws</w:t>
            </w:r>
            <w:proofErr w:type="gramEnd"/>
          </w:p>
          <w:p w14:paraId="36F88E04" w14:textId="664242B5" w:rsidR="00FF78E4" w:rsidRPr="00750225" w:rsidRDefault="009D1333" w:rsidP="00750225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74" w:hanging="174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Build a strong succession of Data Protection Champions / Ambassadors providing opportunities for talented colleagues to develop and build</w:t>
            </w:r>
            <w:r w:rsidR="00D333D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data protection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expertise.</w:t>
            </w:r>
          </w:p>
        </w:tc>
        <w:tc>
          <w:tcPr>
            <w:tcW w:w="3687" w:type="dxa"/>
          </w:tcPr>
          <w:p w14:paraId="09F8C2E3" w14:textId="29F87C02" w:rsidR="00DF08C6" w:rsidRDefault="006F2D0D" w:rsidP="000532A4">
            <w:pPr>
              <w:pStyle w:val="ListParagraph"/>
              <w:numPr>
                <w:ilvl w:val="0"/>
                <w:numId w:val="4"/>
              </w:numPr>
              <w:spacing w:after="0" w:afterAutospacing="0"/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GDPR audit on competence of colleagues</w:t>
            </w:r>
          </w:p>
          <w:p w14:paraId="0416D279" w14:textId="4EFE2603" w:rsidR="009E22D0" w:rsidRPr="00B75089" w:rsidRDefault="009E22D0" w:rsidP="000532A4">
            <w:pPr>
              <w:pStyle w:val="ListParagraph"/>
              <w:tabs>
                <w:tab w:val="left" w:pos="3145"/>
              </w:tabs>
              <w:spacing w:after="0" w:afterAutospacing="0"/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9E22D0" w:rsidRPr="00B75089" w14:paraId="4444B2D2" w14:textId="77777777" w:rsidTr="00DE4E7C">
        <w:trPr>
          <w:trHeight w:val="591"/>
        </w:trPr>
        <w:tc>
          <w:tcPr>
            <w:tcW w:w="6800" w:type="dxa"/>
          </w:tcPr>
          <w:p w14:paraId="13CC861A" w14:textId="350B4F21" w:rsidR="00C51FC0" w:rsidRDefault="009E22D0" w:rsidP="009D1333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14:paraId="6A98DF50" w14:textId="153633CA" w:rsidR="00242CCF" w:rsidRDefault="00242CCF" w:rsidP="002E7925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74" w:hanging="174"/>
              <w:contextualSpacing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Consider </w:t>
            </w:r>
            <w:r w:rsidRPr="003F63F9">
              <w:rPr>
                <w:rFonts w:ascii="Arial" w:hAnsi="Arial" w:cs="Arial"/>
                <w:color w:val="000000"/>
                <w:sz w:val="20"/>
                <w:szCs w:val="20"/>
              </w:rPr>
              <w:t xml:space="preserve">the nature, scope, </w:t>
            </w:r>
            <w:proofErr w:type="gramStart"/>
            <w:r w:rsidRPr="003F63F9">
              <w:rPr>
                <w:rFonts w:ascii="Arial" w:hAnsi="Arial" w:cs="Arial"/>
                <w:color w:val="000000"/>
                <w:sz w:val="20"/>
                <w:szCs w:val="20"/>
              </w:rPr>
              <w:t>context</w:t>
            </w:r>
            <w:proofErr w:type="gramEnd"/>
            <w:r w:rsidRPr="003F63F9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purpose of the data being processed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and ensure a </w:t>
            </w:r>
            <w:r w:rsidRPr="003F63F9">
              <w:rPr>
                <w:rFonts w:ascii="Arial" w:hAnsi="Arial" w:cs="Arial"/>
                <w:color w:val="000000"/>
                <w:sz w:val="20"/>
                <w:szCs w:val="20"/>
              </w:rPr>
              <w:t>risk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3F63F9">
              <w:rPr>
                <w:rFonts w:ascii="Arial" w:hAnsi="Arial" w:cs="Arial"/>
                <w:color w:val="000000"/>
                <w:sz w:val="20"/>
                <w:szCs w:val="20"/>
              </w:rPr>
              <w:t>based approach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F63F9">
              <w:rPr>
                <w:rFonts w:ascii="Arial" w:hAnsi="Arial" w:cs="Arial"/>
                <w:color w:val="000000"/>
                <w:sz w:val="20"/>
                <w:szCs w:val="20"/>
              </w:rPr>
              <w:t>to the advice and approach to actions and activities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 given.</w:t>
            </w:r>
          </w:p>
          <w:p w14:paraId="30B4C0FA" w14:textId="08E66600" w:rsidR="009E22D0" w:rsidRPr="000D11C1" w:rsidRDefault="00DE09EA" w:rsidP="002E7925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74" w:hanging="17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6C9">
              <w:rPr>
                <w:rFonts w:ascii="Arial" w:hAnsi="Arial" w:cs="Arial"/>
                <w:color w:val="000000"/>
                <w:sz w:val="20"/>
                <w:szCs w:val="20"/>
              </w:rPr>
              <w:t xml:space="preserve">Ensure appropriate </w:t>
            </w:r>
            <w:r w:rsidR="00414600">
              <w:rPr>
                <w:rFonts w:ascii="Arial" w:hAnsi="Arial" w:cs="Arial"/>
                <w:color w:val="000000"/>
                <w:sz w:val="20"/>
                <w:szCs w:val="20"/>
              </w:rPr>
              <w:t xml:space="preserve">governance, </w:t>
            </w:r>
            <w:r w:rsidRPr="007B16C9">
              <w:rPr>
                <w:rFonts w:ascii="Arial" w:hAnsi="Arial" w:cs="Arial"/>
                <w:color w:val="000000"/>
                <w:sz w:val="20"/>
                <w:szCs w:val="20"/>
              </w:rPr>
              <w:t xml:space="preserve">business processes and controls are in place to manage </w:t>
            </w:r>
            <w:r w:rsidR="003D4ADE" w:rsidRPr="007B16C9">
              <w:rPr>
                <w:rFonts w:ascii="Arial" w:hAnsi="Arial" w:cs="Arial"/>
                <w:color w:val="000000"/>
                <w:sz w:val="20"/>
                <w:szCs w:val="20"/>
              </w:rPr>
              <w:t xml:space="preserve">GDPR </w:t>
            </w:r>
            <w:r w:rsidRPr="007B16C9">
              <w:rPr>
                <w:rFonts w:ascii="Arial" w:hAnsi="Arial" w:cs="Arial"/>
                <w:color w:val="000000"/>
                <w:sz w:val="20"/>
                <w:szCs w:val="20"/>
              </w:rPr>
              <w:t xml:space="preserve">handling within risk appetite; comply with policies </w:t>
            </w:r>
            <w:r w:rsidRPr="000D11C1">
              <w:rPr>
                <w:rFonts w:ascii="Arial" w:hAnsi="Arial" w:cs="Arial"/>
                <w:sz w:val="20"/>
                <w:szCs w:val="20"/>
              </w:rPr>
              <w:t>and regulatory requirements (as applicable).</w:t>
            </w:r>
          </w:p>
          <w:p w14:paraId="6C5A8EA2" w14:textId="2AF2DDB8" w:rsidR="00B87EE2" w:rsidRPr="000D11C1" w:rsidRDefault="00B87EE2" w:rsidP="002E7925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74" w:hanging="17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11C1">
              <w:rPr>
                <w:rFonts w:ascii="Arial" w:hAnsi="Arial" w:cs="Arial"/>
                <w:sz w:val="20"/>
                <w:szCs w:val="20"/>
              </w:rPr>
              <w:t xml:space="preserve">Undertake </w:t>
            </w:r>
            <w:r w:rsidR="000D11C1" w:rsidRPr="000D11C1">
              <w:rPr>
                <w:rFonts w:ascii="Arial" w:hAnsi="Arial" w:cs="Arial"/>
                <w:sz w:val="20"/>
                <w:szCs w:val="20"/>
              </w:rPr>
              <w:t xml:space="preserve">/ oversee </w:t>
            </w:r>
            <w:r w:rsidRPr="000D11C1">
              <w:rPr>
                <w:rFonts w:ascii="Arial" w:hAnsi="Arial" w:cs="Arial"/>
                <w:sz w:val="20"/>
                <w:szCs w:val="20"/>
              </w:rPr>
              <w:t>audits to ensure compliance with GDPR and other data protections laws, our data pro</w:t>
            </w:r>
            <w:r w:rsidR="005C23C8" w:rsidRPr="000D11C1">
              <w:rPr>
                <w:rFonts w:ascii="Arial" w:hAnsi="Arial" w:cs="Arial"/>
                <w:sz w:val="20"/>
                <w:szCs w:val="20"/>
              </w:rPr>
              <w:t>t</w:t>
            </w:r>
            <w:r w:rsidRPr="000D11C1">
              <w:rPr>
                <w:rFonts w:ascii="Arial" w:hAnsi="Arial" w:cs="Arial"/>
                <w:sz w:val="20"/>
                <w:szCs w:val="20"/>
              </w:rPr>
              <w:t xml:space="preserve">ection policies and GDPR related competence of </w:t>
            </w:r>
            <w:proofErr w:type="gramStart"/>
            <w:r w:rsidRPr="000D11C1">
              <w:rPr>
                <w:rFonts w:ascii="Arial" w:hAnsi="Arial" w:cs="Arial"/>
                <w:sz w:val="20"/>
                <w:szCs w:val="20"/>
              </w:rPr>
              <w:t>colleagues</w:t>
            </w:r>
            <w:proofErr w:type="gramEnd"/>
          </w:p>
          <w:p w14:paraId="12828D6B" w14:textId="77777777" w:rsidR="001E3977" w:rsidRPr="00FF78E4" w:rsidRDefault="00406E7F" w:rsidP="00352D96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74" w:hanging="174"/>
              <w:contextualSpacing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Actively contribute to the </w:t>
            </w:r>
            <w:r w:rsidR="00BF16F1" w:rsidRPr="007B16C9">
              <w:rPr>
                <w:rFonts w:ascii="Arial" w:hAnsi="Arial" w:cs="Arial"/>
                <w:color w:val="000000"/>
                <w:sz w:val="20"/>
                <w:szCs w:val="20"/>
              </w:rPr>
              <w:t xml:space="preserve">identification and management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of business risks and issues </w:t>
            </w:r>
            <w:r w:rsidR="00352D96">
              <w:rPr>
                <w:rFonts w:ascii="Arial" w:hAnsi="Arial" w:cs="Arial"/>
                <w:color w:val="000000"/>
                <w:sz w:val="20"/>
                <w:szCs w:val="20"/>
              </w:rPr>
              <w:t>together with mitigating actions.</w:t>
            </w:r>
          </w:p>
          <w:p w14:paraId="0B81AB47" w14:textId="2C0D3A4E" w:rsidR="00FF78E4" w:rsidRPr="00FF78E4" w:rsidRDefault="00FF78E4" w:rsidP="00FF78E4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7" w:type="dxa"/>
          </w:tcPr>
          <w:p w14:paraId="54CC26BD" w14:textId="77777777" w:rsidR="003D4ADE" w:rsidRPr="003D4ADE" w:rsidRDefault="009E22D0" w:rsidP="000532A4">
            <w:pPr>
              <w:pStyle w:val="ListParagraph"/>
              <w:numPr>
                <w:ilvl w:val="0"/>
                <w:numId w:val="5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3DBDDD9C" w14:textId="77777777" w:rsidR="009E22D0" w:rsidRPr="003D4ADE" w:rsidRDefault="009E22D0" w:rsidP="000532A4">
            <w:pPr>
              <w:pStyle w:val="ListParagraph"/>
              <w:numPr>
                <w:ilvl w:val="0"/>
                <w:numId w:val="5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6099F057" w14:textId="77777777" w:rsidR="003D4ADE" w:rsidRPr="00461C5E" w:rsidRDefault="003D4ADE" w:rsidP="000532A4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 incidents</w:t>
            </w:r>
          </w:p>
          <w:p w14:paraId="0CA614DF" w14:textId="77777777" w:rsidR="003D4ADE" w:rsidRDefault="003D4ADE" w:rsidP="000532A4">
            <w:pPr>
              <w:pStyle w:val="ListParagraph"/>
              <w:numPr>
                <w:ilvl w:val="0"/>
                <w:numId w:val="5"/>
              </w:numPr>
              <w:spacing w:before="0" w:beforeAutospacing="0" w:after="0" w:afterAutospacing="0"/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Reputation with regulators</w:t>
            </w:r>
          </w:p>
          <w:p w14:paraId="089481D0" w14:textId="4BDCD74E" w:rsidR="003D4ADE" w:rsidRPr="00B75089" w:rsidRDefault="003D4ADE" w:rsidP="000532A4">
            <w:pPr>
              <w:pStyle w:val="ListParagraph"/>
              <w:numPr>
                <w:ilvl w:val="0"/>
                <w:numId w:val="5"/>
              </w:numPr>
              <w:ind w:left="210" w:hanging="21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Reputation with ICO</w:t>
            </w:r>
          </w:p>
        </w:tc>
      </w:tr>
    </w:tbl>
    <w:p w14:paraId="1A8D0D37" w14:textId="77777777" w:rsidR="00FB4711" w:rsidRPr="00AB04D1" w:rsidRDefault="00FB4711" w:rsidP="00B750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14:paraId="4B125E7A" w14:textId="77777777" w:rsidTr="00F76CDD">
        <w:trPr>
          <w:trHeight w:val="135"/>
        </w:trPr>
        <w:tc>
          <w:tcPr>
            <w:tcW w:w="10490" w:type="dxa"/>
            <w:shd w:val="clear" w:color="auto" w:fill="D9D9D9" w:themeFill="background1" w:themeFillShade="D9"/>
          </w:tcPr>
          <w:p w14:paraId="3D002EDB" w14:textId="77777777"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14:paraId="11962530" w14:textId="77777777" w:rsidTr="00FF16B8">
        <w:trPr>
          <w:trHeight w:val="693"/>
        </w:trPr>
        <w:tc>
          <w:tcPr>
            <w:tcW w:w="10490" w:type="dxa"/>
          </w:tcPr>
          <w:p w14:paraId="4D099C40" w14:textId="77777777" w:rsidR="009E22D0" w:rsidRPr="00FF78E4" w:rsidRDefault="004D18E8" w:rsidP="005C6EA2">
            <w:pPr>
              <w:pStyle w:val="ListParagraph"/>
              <w:numPr>
                <w:ilvl w:val="0"/>
                <w:numId w:val="7"/>
              </w:numPr>
              <w:spacing w:before="0" w:beforeAutospacing="0" w:after="0" w:afterAutospacing="0"/>
              <w:ind w:left="204" w:hanging="17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16C9">
              <w:rPr>
                <w:rFonts w:ascii="Arial" w:hAnsi="Arial" w:cs="Arial"/>
                <w:color w:val="000000" w:themeColor="text1"/>
                <w:sz w:val="20"/>
                <w:szCs w:val="20"/>
              </w:rPr>
              <w:t>Undertaking other duties and tasks that from time to time may be allocated to the role holder that are appropriate to the level or role.</w:t>
            </w:r>
          </w:p>
          <w:p w14:paraId="6EA6D715" w14:textId="76A257A7" w:rsidR="00FF78E4" w:rsidRPr="00DE09EA" w:rsidRDefault="00FF78E4" w:rsidP="00FF78E4">
            <w:pPr>
              <w:pStyle w:val="ListParagraph"/>
              <w:spacing w:before="0" w:beforeAutospacing="0" w:after="0" w:afterAutospacing="0"/>
              <w:ind w:left="20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1D4CEC" w14:textId="77777777" w:rsidR="009E22D0" w:rsidRPr="00A203C1" w:rsidRDefault="009E22D0" w:rsidP="00B750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14:paraId="65F720D6" w14:textId="77777777" w:rsidTr="00F76CDD">
        <w:trPr>
          <w:trHeight w:val="314"/>
        </w:trPr>
        <w:tc>
          <w:tcPr>
            <w:tcW w:w="10490" w:type="dxa"/>
            <w:shd w:val="clear" w:color="auto" w:fill="D9D9D9" w:themeFill="background1" w:themeFillShade="D9"/>
          </w:tcPr>
          <w:p w14:paraId="17DF20B9" w14:textId="77777777"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14:paraId="7556798F" w14:textId="77777777" w:rsidTr="00AB04D1">
        <w:trPr>
          <w:trHeight w:val="243"/>
        </w:trPr>
        <w:tc>
          <w:tcPr>
            <w:tcW w:w="10490" w:type="dxa"/>
          </w:tcPr>
          <w:p w14:paraId="0AB8F9DE" w14:textId="2F1769E5" w:rsidR="005542D1" w:rsidRPr="00B75089" w:rsidRDefault="008C5BD4" w:rsidP="005C6EA2">
            <w:pPr>
              <w:pStyle w:val="ListParagraph"/>
              <w:numPr>
                <w:ilvl w:val="0"/>
                <w:numId w:val="12"/>
              </w:numPr>
              <w:spacing w:before="0" w:after="0"/>
              <w:ind w:left="204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Report to Governance meetings such as Audit and Risk Committee, we required by Council </w:t>
            </w:r>
            <w:r w:rsidR="00715864">
              <w:rPr>
                <w:rFonts w:ascii="Arial" w:hAnsi="Arial" w:cs="Arial"/>
                <w:sz w:val="20"/>
                <w:szCs w:val="20"/>
              </w:rPr>
              <w:t>/ any of its Sub-Committees / the Executive.</w:t>
            </w:r>
          </w:p>
        </w:tc>
      </w:tr>
    </w:tbl>
    <w:p w14:paraId="118260D5" w14:textId="77777777" w:rsidR="005542D1" w:rsidRPr="00AB04D1" w:rsidRDefault="005542D1" w:rsidP="00B75089">
      <w:pPr>
        <w:spacing w:line="240" w:lineRule="auto"/>
        <w:rPr>
          <w:rFonts w:ascii="Arial" w:hAnsi="Arial" w:cs="Arial"/>
          <w:sz w:val="2"/>
          <w:szCs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14:paraId="01DE2245" w14:textId="77777777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14:paraId="3AFA5EE3" w14:textId="77777777"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14:paraId="5B024A02" w14:textId="651B1DE5" w:rsidR="0056188D" w:rsidRPr="00C51FC0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14:paraId="1CF73AFD" w14:textId="77777777" w:rsidTr="00FF16B8">
        <w:trPr>
          <w:trHeight w:val="211"/>
        </w:trPr>
        <w:tc>
          <w:tcPr>
            <w:tcW w:w="6008" w:type="dxa"/>
          </w:tcPr>
          <w:p w14:paraId="41D567FD" w14:textId="77777777"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14:paraId="33033439" w14:textId="0C515839" w:rsidR="0056188D" w:rsidRPr="00B75089" w:rsidRDefault="00264A12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3D4ADE">
              <w:rPr>
                <w:rFonts w:ascii="Arial" w:hAnsi="Arial" w:cs="Arial"/>
                <w:sz w:val="20"/>
                <w:szCs w:val="20"/>
              </w:rPr>
              <w:t>the Organisation</w:t>
            </w:r>
          </w:p>
        </w:tc>
      </w:tr>
      <w:tr w:rsidR="004D18E8" w:rsidRPr="00B75089" w14:paraId="1E1E51A3" w14:textId="77777777" w:rsidTr="00FF16B8">
        <w:trPr>
          <w:trHeight w:val="211"/>
        </w:trPr>
        <w:tc>
          <w:tcPr>
            <w:tcW w:w="6008" w:type="dxa"/>
          </w:tcPr>
          <w:p w14:paraId="539EABF0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14:paraId="09370097" w14:textId="1717ABF4" w:rsidR="004D18E8" w:rsidRPr="00B75089" w:rsidRDefault="007E092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the Organisation</w:t>
            </w:r>
          </w:p>
        </w:tc>
      </w:tr>
      <w:tr w:rsidR="004D18E8" w:rsidRPr="00B75089" w14:paraId="25FB01F6" w14:textId="77777777" w:rsidTr="00FF16B8">
        <w:trPr>
          <w:trHeight w:val="211"/>
        </w:trPr>
        <w:tc>
          <w:tcPr>
            <w:tcW w:w="6008" w:type="dxa"/>
          </w:tcPr>
          <w:p w14:paraId="0C2E9736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14:paraId="726BA08C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7E8C4EFB" w14:textId="77777777" w:rsidTr="00FF16B8">
        <w:trPr>
          <w:trHeight w:val="211"/>
        </w:trPr>
        <w:tc>
          <w:tcPr>
            <w:tcW w:w="6008" w:type="dxa"/>
          </w:tcPr>
          <w:p w14:paraId="298711CF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14:paraId="3DC30B11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267E3911" w14:textId="77777777" w:rsidTr="00FF16B8">
        <w:trPr>
          <w:trHeight w:val="211"/>
        </w:trPr>
        <w:tc>
          <w:tcPr>
            <w:tcW w:w="6008" w:type="dxa"/>
          </w:tcPr>
          <w:p w14:paraId="67BF0225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14:paraId="25C23529" w14:textId="77777777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14:paraId="6ADB7839" w14:textId="77777777" w:rsidTr="00FF16B8">
        <w:trPr>
          <w:trHeight w:val="211"/>
        </w:trPr>
        <w:tc>
          <w:tcPr>
            <w:tcW w:w="6008" w:type="dxa"/>
          </w:tcPr>
          <w:p w14:paraId="53600C7A" w14:textId="77777777"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14:paraId="26CB9337" w14:textId="5C76D6C9" w:rsidR="004D18E8" w:rsidRPr="00B75089" w:rsidRDefault="00264A12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7B16C9">
              <w:rPr>
                <w:rFonts w:ascii="Arial" w:hAnsi="Arial" w:cs="Arial"/>
                <w:sz w:val="20"/>
                <w:szCs w:val="20"/>
              </w:rPr>
              <w:t>the Organisation</w:t>
            </w:r>
          </w:p>
        </w:tc>
      </w:tr>
    </w:tbl>
    <w:tbl>
      <w:tblPr>
        <w:tblStyle w:val="TableGrid1"/>
        <w:tblpPr w:leftFromText="180" w:rightFromText="180" w:vertAnchor="text" w:horzAnchor="page" w:tblpX="1125" w:tblpY="500"/>
        <w:tblW w:w="10456" w:type="dxa"/>
        <w:tblLook w:val="04A0" w:firstRow="1" w:lastRow="0" w:firstColumn="1" w:lastColumn="0" w:noHBand="0" w:noVBand="1"/>
      </w:tblPr>
      <w:tblGrid>
        <w:gridCol w:w="460"/>
        <w:gridCol w:w="2483"/>
        <w:gridCol w:w="4565"/>
        <w:gridCol w:w="2948"/>
      </w:tblGrid>
      <w:tr w:rsidR="00FF16B8" w:rsidRPr="00B75089" w14:paraId="25997235" w14:textId="77777777" w:rsidTr="00604C6C">
        <w:trPr>
          <w:trHeight w:val="222"/>
        </w:trPr>
        <w:tc>
          <w:tcPr>
            <w:tcW w:w="460" w:type="dxa"/>
            <w:shd w:val="clear" w:color="auto" w:fill="D9D9D9" w:themeFill="background1" w:themeFillShade="D9"/>
          </w:tcPr>
          <w:p w14:paraId="00A01B59" w14:textId="77777777" w:rsidR="00E40AC5" w:rsidRPr="00B75089" w:rsidRDefault="00E40AC5" w:rsidP="00AB04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83" w:type="dxa"/>
            <w:shd w:val="clear" w:color="auto" w:fill="D9D9D9" w:themeFill="background1" w:themeFillShade="D9"/>
          </w:tcPr>
          <w:p w14:paraId="1945C388" w14:textId="77777777" w:rsidR="00E40AC5" w:rsidRPr="00B75089" w:rsidRDefault="00E40AC5" w:rsidP="00AB04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4565" w:type="dxa"/>
            <w:shd w:val="clear" w:color="auto" w:fill="D9D9D9" w:themeFill="background1" w:themeFillShade="D9"/>
          </w:tcPr>
          <w:p w14:paraId="246AF39A" w14:textId="77777777" w:rsidR="00E40AC5" w:rsidRPr="00B75089" w:rsidRDefault="00E40AC5" w:rsidP="00AB04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948" w:type="dxa"/>
            <w:shd w:val="clear" w:color="auto" w:fill="D9D9D9" w:themeFill="background1" w:themeFillShade="D9"/>
          </w:tcPr>
          <w:p w14:paraId="36102CF5" w14:textId="77777777" w:rsidR="00E40AC5" w:rsidRPr="00B75089" w:rsidRDefault="00E40AC5" w:rsidP="00AB04D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FF16B8" w:rsidRPr="00B75089" w14:paraId="756FA40C" w14:textId="77777777" w:rsidTr="0031048A">
        <w:trPr>
          <w:cantSplit/>
          <w:trHeight w:val="1796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0ABF2A15" w14:textId="77777777" w:rsidR="00E40AC5" w:rsidRPr="00B75089" w:rsidRDefault="00E40AC5" w:rsidP="00AB04D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483" w:type="dxa"/>
          </w:tcPr>
          <w:p w14:paraId="62BE1E66" w14:textId="09066951" w:rsidR="00E40AC5" w:rsidRPr="00C51FC0" w:rsidRDefault="00C51FC0" w:rsidP="005F6181">
            <w:pPr>
              <w:numPr>
                <w:ilvl w:val="0"/>
                <w:numId w:val="5"/>
              </w:numPr>
              <w:spacing w:beforeAutospacing="0" w:after="0" w:afterAutospacing="0" w:line="240" w:lineRule="auto"/>
              <w:ind w:left="140" w:hanging="142"/>
              <w:jc w:val="both"/>
              <w:rPr>
                <w:rFonts w:ascii="Arial" w:hAnsi="Arial" w:cs="Arial"/>
                <w:sz w:val="20"/>
              </w:rPr>
            </w:pPr>
            <w:r w:rsidRPr="00093A05">
              <w:rPr>
                <w:rFonts w:ascii="Arial" w:hAnsi="Arial" w:cs="Arial"/>
                <w:sz w:val="20"/>
              </w:rPr>
              <w:t>Understanding of the UK GDPR, PECR and European General Data Protection Regulation (GDPR).</w:t>
            </w:r>
          </w:p>
        </w:tc>
        <w:tc>
          <w:tcPr>
            <w:tcW w:w="4565" w:type="dxa"/>
          </w:tcPr>
          <w:p w14:paraId="120C8666" w14:textId="76AC6E1C" w:rsidR="00C51FC0" w:rsidRPr="00C51FC0" w:rsidRDefault="00C51FC0" w:rsidP="005F6181">
            <w:pPr>
              <w:numPr>
                <w:ilvl w:val="0"/>
                <w:numId w:val="5"/>
              </w:numPr>
              <w:spacing w:beforeAutospacing="0" w:after="0" w:afterAutospacing="0" w:line="240" w:lineRule="auto"/>
              <w:ind w:left="202" w:hanging="202"/>
              <w:jc w:val="both"/>
              <w:rPr>
                <w:rFonts w:ascii="Arial" w:hAnsi="Arial" w:cs="Arial"/>
                <w:sz w:val="20"/>
              </w:rPr>
            </w:pPr>
            <w:r w:rsidRPr="00093A05">
              <w:rPr>
                <w:rFonts w:ascii="Arial" w:hAnsi="Arial" w:cs="Arial"/>
                <w:sz w:val="20"/>
              </w:rPr>
              <w:t xml:space="preserve">Ability to foster and embed a strong risk </w:t>
            </w:r>
            <w:proofErr w:type="gramStart"/>
            <w:r w:rsidRPr="00093A05">
              <w:rPr>
                <w:rFonts w:ascii="Arial" w:hAnsi="Arial" w:cs="Arial"/>
                <w:sz w:val="20"/>
              </w:rPr>
              <w:t>culture</w:t>
            </w:r>
            <w:proofErr w:type="gramEnd"/>
          </w:p>
          <w:p w14:paraId="59C5D836" w14:textId="17C23F8B" w:rsidR="003D4ADE" w:rsidRPr="009A6191" w:rsidRDefault="003D4ADE" w:rsidP="005F6181">
            <w:pPr>
              <w:numPr>
                <w:ilvl w:val="0"/>
                <w:numId w:val="5"/>
              </w:numPr>
              <w:spacing w:beforeAutospacing="0" w:after="0" w:afterAutospacing="0" w:line="240" w:lineRule="auto"/>
              <w:ind w:left="202" w:hanging="202"/>
              <w:jc w:val="both"/>
              <w:rPr>
                <w:rFonts w:ascii="Arial" w:hAnsi="Arial" w:cs="Arial"/>
                <w:sz w:val="20"/>
              </w:rPr>
            </w:pPr>
            <w:r w:rsidRPr="009A6191">
              <w:rPr>
                <w:rFonts w:ascii="Arial" w:hAnsi="Arial" w:cs="Arial"/>
                <w:sz w:val="20"/>
              </w:rPr>
              <w:t>Excellent attention to detail</w:t>
            </w:r>
          </w:p>
          <w:p w14:paraId="16047B38" w14:textId="2EC46D5C" w:rsidR="003D4ADE" w:rsidRDefault="00715864" w:rsidP="005F6181">
            <w:pPr>
              <w:numPr>
                <w:ilvl w:val="0"/>
                <w:numId w:val="5"/>
              </w:numPr>
              <w:spacing w:beforeAutospacing="0" w:after="0" w:afterAutospacing="0" w:line="240" w:lineRule="auto"/>
              <w:ind w:left="202" w:hanging="20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Confident to e</w:t>
            </w:r>
            <w:r w:rsidR="003D4ADE" w:rsidRPr="009A6191">
              <w:rPr>
                <w:rFonts w:ascii="Arial" w:hAnsi="Arial" w:cs="Arial"/>
                <w:sz w:val="20"/>
              </w:rPr>
              <w:t xml:space="preserve">ngage and challenge at all </w:t>
            </w:r>
            <w:proofErr w:type="gramStart"/>
            <w:r w:rsidR="003D4ADE" w:rsidRPr="009A6191">
              <w:rPr>
                <w:rFonts w:ascii="Arial" w:hAnsi="Arial" w:cs="Arial"/>
                <w:sz w:val="20"/>
              </w:rPr>
              <w:t>levels</w:t>
            </w:r>
            <w:proofErr w:type="gramEnd"/>
          </w:p>
          <w:p w14:paraId="44F7C087" w14:textId="619401E9" w:rsidR="003D4ADE" w:rsidRPr="009A6191" w:rsidRDefault="003D4ADE" w:rsidP="005F6181">
            <w:pPr>
              <w:numPr>
                <w:ilvl w:val="0"/>
                <w:numId w:val="5"/>
              </w:numPr>
              <w:spacing w:beforeAutospacing="0" w:after="0" w:afterAutospacing="0" w:line="240" w:lineRule="auto"/>
              <w:ind w:left="202" w:hanging="20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Able to influence at </w:t>
            </w:r>
            <w:r w:rsidR="00191BBD">
              <w:rPr>
                <w:rFonts w:ascii="Arial" w:hAnsi="Arial" w:cs="Arial"/>
                <w:sz w:val="20"/>
              </w:rPr>
              <w:t xml:space="preserve">Executive and </w:t>
            </w:r>
            <w:r>
              <w:rPr>
                <w:rFonts w:ascii="Arial" w:hAnsi="Arial" w:cs="Arial"/>
                <w:sz w:val="20"/>
              </w:rPr>
              <w:t xml:space="preserve">Board </w:t>
            </w:r>
            <w:proofErr w:type="gramStart"/>
            <w:r>
              <w:rPr>
                <w:rFonts w:ascii="Arial" w:hAnsi="Arial" w:cs="Arial"/>
                <w:sz w:val="20"/>
              </w:rPr>
              <w:t>level</w:t>
            </w:r>
            <w:proofErr w:type="gramEnd"/>
          </w:p>
          <w:p w14:paraId="32A126CB" w14:textId="645391BC" w:rsidR="00E40AC5" w:rsidRPr="00C51FC0" w:rsidRDefault="003D4ADE" w:rsidP="005F6181">
            <w:pPr>
              <w:numPr>
                <w:ilvl w:val="0"/>
                <w:numId w:val="5"/>
              </w:numPr>
              <w:spacing w:beforeAutospacing="0" w:after="0" w:afterAutospacing="0" w:line="240" w:lineRule="auto"/>
              <w:ind w:left="202" w:hanging="20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</w:t>
            </w:r>
            <w:r w:rsidRPr="009A6191">
              <w:rPr>
                <w:rFonts w:ascii="Arial" w:hAnsi="Arial" w:cs="Arial"/>
                <w:sz w:val="20"/>
              </w:rPr>
              <w:t>ommunicate clearly and effectively</w:t>
            </w:r>
            <w:r>
              <w:rPr>
                <w:rFonts w:ascii="Arial" w:hAnsi="Arial" w:cs="Arial"/>
                <w:sz w:val="20"/>
              </w:rPr>
              <w:t xml:space="preserve"> (</w:t>
            </w:r>
            <w:r w:rsidRPr="009A6191">
              <w:rPr>
                <w:rFonts w:ascii="Arial" w:hAnsi="Arial" w:cs="Arial"/>
                <w:sz w:val="20"/>
              </w:rPr>
              <w:t>oral and written</w:t>
            </w:r>
            <w:r>
              <w:rPr>
                <w:rFonts w:ascii="Arial" w:hAnsi="Arial" w:cs="Arial"/>
                <w:sz w:val="20"/>
              </w:rPr>
              <w:t>)</w:t>
            </w:r>
            <w:r w:rsidRPr="009A6191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adapt methods to suit </w:t>
            </w:r>
            <w:r w:rsidRPr="009A6191">
              <w:rPr>
                <w:rFonts w:ascii="Arial" w:hAnsi="Arial" w:cs="Arial"/>
                <w:sz w:val="20"/>
              </w:rPr>
              <w:t xml:space="preserve">audiences, both in terms of seniority, business area and location </w:t>
            </w:r>
          </w:p>
        </w:tc>
        <w:tc>
          <w:tcPr>
            <w:tcW w:w="2948" w:type="dxa"/>
          </w:tcPr>
          <w:p w14:paraId="4469563A" w14:textId="77777777" w:rsidR="00E40AC5" w:rsidRPr="00C51FC0" w:rsidRDefault="003D4ADE" w:rsidP="005F6181">
            <w:pPr>
              <w:pStyle w:val="ListParagraph"/>
              <w:numPr>
                <w:ilvl w:val="0"/>
                <w:numId w:val="5"/>
              </w:numPr>
              <w:spacing w:after="0"/>
              <w:ind w:left="182" w:hanging="182"/>
              <w:jc w:val="both"/>
              <w:rPr>
                <w:rFonts w:ascii="Arial" w:eastAsia="Calibri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Previous Data Protection Officer post-</w:t>
            </w:r>
            <w:r w:rsidRPr="00C51FC0">
              <w:rPr>
                <w:rFonts w:ascii="Arial" w:eastAsia="Calibri" w:hAnsi="Arial" w:cs="Arial"/>
                <w:sz w:val="20"/>
              </w:rPr>
              <w:t>holder</w:t>
            </w:r>
          </w:p>
          <w:p w14:paraId="6B59F743" w14:textId="7311BC19" w:rsidR="00C51FC0" w:rsidRPr="00B75089" w:rsidRDefault="00C51FC0" w:rsidP="007944C6">
            <w:pPr>
              <w:pStyle w:val="ListParagraph"/>
              <w:spacing w:after="0"/>
              <w:ind w:left="182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  <w:tr w:rsidR="00FF16B8" w:rsidRPr="00B75089" w14:paraId="531F67B6" w14:textId="77777777" w:rsidTr="005F6181">
        <w:trPr>
          <w:cantSplit/>
          <w:trHeight w:val="1263"/>
        </w:trPr>
        <w:tc>
          <w:tcPr>
            <w:tcW w:w="460" w:type="dxa"/>
            <w:shd w:val="clear" w:color="auto" w:fill="D9D9D9" w:themeFill="background1" w:themeFillShade="D9"/>
            <w:textDirection w:val="btLr"/>
          </w:tcPr>
          <w:p w14:paraId="56F550FA" w14:textId="77777777" w:rsidR="00E40AC5" w:rsidRPr="00B75089" w:rsidRDefault="00E40AC5" w:rsidP="00AB04D1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2483" w:type="dxa"/>
          </w:tcPr>
          <w:p w14:paraId="1C3060F6" w14:textId="0E107C18" w:rsidR="00E40AC5" w:rsidRPr="00C51FC0" w:rsidRDefault="00C51FC0" w:rsidP="00704169">
            <w:pPr>
              <w:numPr>
                <w:ilvl w:val="0"/>
                <w:numId w:val="5"/>
              </w:numPr>
              <w:spacing w:beforeAutospacing="0" w:after="0" w:afterAutospacing="0" w:line="240" w:lineRule="auto"/>
              <w:ind w:left="140" w:hanging="140"/>
              <w:jc w:val="both"/>
              <w:rPr>
                <w:rFonts w:ascii="Arial" w:hAnsi="Arial" w:cs="Arial"/>
                <w:sz w:val="20"/>
              </w:rPr>
            </w:pPr>
            <w:r w:rsidRPr="00093A05">
              <w:rPr>
                <w:rFonts w:ascii="Arial" w:hAnsi="Arial" w:cs="Arial"/>
                <w:sz w:val="20"/>
              </w:rPr>
              <w:t xml:space="preserve">Knowledge of cybersecurity risks and other information security standards </w:t>
            </w:r>
          </w:p>
        </w:tc>
        <w:tc>
          <w:tcPr>
            <w:tcW w:w="4565" w:type="dxa"/>
          </w:tcPr>
          <w:p w14:paraId="0704848E" w14:textId="77777777" w:rsidR="00E40AC5" w:rsidRPr="003C7BE2" w:rsidRDefault="00E40AC5" w:rsidP="003C7BE2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48" w:type="dxa"/>
          </w:tcPr>
          <w:p w14:paraId="12332420" w14:textId="3BC65C57" w:rsidR="00FB1F50" w:rsidRDefault="003D4ADE" w:rsidP="00191BBD">
            <w:pPr>
              <w:pStyle w:val="ListParagraph"/>
              <w:numPr>
                <w:ilvl w:val="0"/>
                <w:numId w:val="5"/>
              </w:numPr>
              <w:spacing w:before="0" w:after="0"/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6191">
              <w:rPr>
                <w:rFonts w:ascii="Arial" w:hAnsi="Arial" w:cs="Arial"/>
                <w:sz w:val="20"/>
                <w:szCs w:val="20"/>
              </w:rPr>
              <w:t>Experienced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B1F50">
              <w:rPr>
                <w:rFonts w:ascii="Arial" w:hAnsi="Arial" w:cs="Arial"/>
                <w:sz w:val="20"/>
                <w:szCs w:val="20"/>
              </w:rPr>
              <w:t xml:space="preserve">DP </w:t>
            </w:r>
            <w:r w:rsidRPr="009A6191">
              <w:rPr>
                <w:rFonts w:ascii="Arial" w:hAnsi="Arial" w:cs="Arial"/>
                <w:sz w:val="20"/>
                <w:szCs w:val="20"/>
              </w:rPr>
              <w:t>practitioner in the Lloyd's of London market</w:t>
            </w:r>
            <w:r w:rsidR="00FB1F50">
              <w:rPr>
                <w:rFonts w:ascii="Arial" w:hAnsi="Arial" w:cs="Arial"/>
                <w:sz w:val="20"/>
                <w:szCs w:val="20"/>
              </w:rPr>
              <w:t xml:space="preserve"> / Financial Services</w:t>
            </w:r>
          </w:p>
          <w:p w14:paraId="535DDE21" w14:textId="249C1089" w:rsidR="00E40AC5" w:rsidRPr="00FB1F50" w:rsidRDefault="00191BBD" w:rsidP="00191BBD">
            <w:pPr>
              <w:pStyle w:val="ListParagraph"/>
              <w:numPr>
                <w:ilvl w:val="0"/>
                <w:numId w:val="5"/>
              </w:numPr>
              <w:spacing w:before="0" w:after="0"/>
              <w:ind w:left="178" w:hanging="178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F50">
              <w:rPr>
                <w:rFonts w:ascii="Arial" w:eastAsia="Calibri" w:hAnsi="Arial" w:cs="Arial"/>
                <w:sz w:val="20"/>
              </w:rPr>
              <w:t>Global Data Protection</w:t>
            </w:r>
          </w:p>
        </w:tc>
      </w:tr>
    </w:tbl>
    <w:p w14:paraId="76DA9525" w14:textId="77777777" w:rsidR="0056188D" w:rsidRPr="00B75089" w:rsidRDefault="0056188D" w:rsidP="00B75089">
      <w:pPr>
        <w:spacing w:line="240" w:lineRule="auto"/>
        <w:rPr>
          <w:rFonts w:ascii="Arial" w:hAnsi="Arial" w:cs="Arial"/>
        </w:rPr>
      </w:pPr>
    </w:p>
    <w:sectPr w:rsidR="0056188D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3E7EB" w14:textId="77777777" w:rsidR="009133EC" w:rsidRDefault="009133EC" w:rsidP="009E22D0">
      <w:pPr>
        <w:spacing w:after="0" w:line="240" w:lineRule="auto"/>
      </w:pPr>
      <w:r>
        <w:separator/>
      </w:r>
    </w:p>
  </w:endnote>
  <w:endnote w:type="continuationSeparator" w:id="0">
    <w:p w14:paraId="6288F1DB" w14:textId="77777777" w:rsidR="009133EC" w:rsidRDefault="009133EC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52055" w14:textId="77777777" w:rsidR="009133EC" w:rsidRDefault="009133EC" w:rsidP="009E22D0">
      <w:pPr>
        <w:spacing w:after="0" w:line="240" w:lineRule="auto"/>
      </w:pPr>
      <w:r>
        <w:separator/>
      </w:r>
    </w:p>
  </w:footnote>
  <w:footnote w:type="continuationSeparator" w:id="0">
    <w:p w14:paraId="14B345E2" w14:textId="77777777" w:rsidR="009133EC" w:rsidRDefault="009133EC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0A0CE" w14:textId="77777777" w:rsidR="00E01407" w:rsidRPr="000E4361" w:rsidRDefault="00E01407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2ACD4068" wp14:editId="1F2C9553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B2A19"/>
    <w:multiLevelType w:val="hybridMultilevel"/>
    <w:tmpl w:val="69C63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A5FF5"/>
    <w:multiLevelType w:val="hybridMultilevel"/>
    <w:tmpl w:val="1F207F8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1AE618EA"/>
    <w:multiLevelType w:val="multilevel"/>
    <w:tmpl w:val="ED4E6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A3F3A"/>
    <w:multiLevelType w:val="hybridMultilevel"/>
    <w:tmpl w:val="311A308E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5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E71C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2466FF"/>
    <w:multiLevelType w:val="hybridMultilevel"/>
    <w:tmpl w:val="160E68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C63D54"/>
    <w:multiLevelType w:val="hybridMultilevel"/>
    <w:tmpl w:val="FDB6C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5CE40F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175A9"/>
    <w:multiLevelType w:val="hybridMultilevel"/>
    <w:tmpl w:val="468A8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6B7186"/>
    <w:multiLevelType w:val="multilevel"/>
    <w:tmpl w:val="01A6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083131"/>
    <w:multiLevelType w:val="multilevel"/>
    <w:tmpl w:val="C4FC8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D033C5"/>
    <w:multiLevelType w:val="hybridMultilevel"/>
    <w:tmpl w:val="A39E5DF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20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749427">
    <w:abstractNumId w:val="11"/>
  </w:num>
  <w:num w:numId="2" w16cid:durableId="1361782402">
    <w:abstractNumId w:val="1"/>
  </w:num>
  <w:num w:numId="3" w16cid:durableId="2073503760">
    <w:abstractNumId w:val="8"/>
  </w:num>
  <w:num w:numId="4" w16cid:durableId="396976806">
    <w:abstractNumId w:val="6"/>
  </w:num>
  <w:num w:numId="5" w16cid:durableId="664744445">
    <w:abstractNumId w:val="10"/>
  </w:num>
  <w:num w:numId="6" w16cid:durableId="1852330302">
    <w:abstractNumId w:val="3"/>
  </w:num>
  <w:num w:numId="7" w16cid:durableId="748307008">
    <w:abstractNumId w:val="13"/>
  </w:num>
  <w:num w:numId="8" w16cid:durableId="1139032291">
    <w:abstractNumId w:val="18"/>
  </w:num>
  <w:num w:numId="9" w16cid:durableId="2113932630">
    <w:abstractNumId w:val="20"/>
  </w:num>
  <w:num w:numId="10" w16cid:durableId="891186936">
    <w:abstractNumId w:val="14"/>
  </w:num>
  <w:num w:numId="11" w16cid:durableId="1135177946">
    <w:abstractNumId w:val="5"/>
  </w:num>
  <w:num w:numId="12" w16cid:durableId="56754227">
    <w:abstractNumId w:val="15"/>
  </w:num>
  <w:num w:numId="13" w16cid:durableId="767122246">
    <w:abstractNumId w:val="12"/>
  </w:num>
  <w:num w:numId="14" w16cid:durableId="243492966">
    <w:abstractNumId w:val="9"/>
  </w:num>
  <w:num w:numId="15" w16cid:durableId="826435826">
    <w:abstractNumId w:val="4"/>
  </w:num>
  <w:num w:numId="16" w16cid:durableId="1609660417">
    <w:abstractNumId w:val="19"/>
  </w:num>
  <w:num w:numId="17" w16cid:durableId="2139567129">
    <w:abstractNumId w:val="7"/>
  </w:num>
  <w:num w:numId="18" w16cid:durableId="1264725588">
    <w:abstractNumId w:val="0"/>
  </w:num>
  <w:num w:numId="19" w16cid:durableId="1594045803">
    <w:abstractNumId w:val="16"/>
  </w:num>
  <w:num w:numId="20" w16cid:durableId="717439056">
    <w:abstractNumId w:val="17"/>
  </w:num>
  <w:num w:numId="21" w16cid:durableId="7002790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D0"/>
    <w:rsid w:val="000061B7"/>
    <w:rsid w:val="00031364"/>
    <w:rsid w:val="000532A4"/>
    <w:rsid w:val="000716BB"/>
    <w:rsid w:val="000719FC"/>
    <w:rsid w:val="00081A3B"/>
    <w:rsid w:val="00082F60"/>
    <w:rsid w:val="000901C9"/>
    <w:rsid w:val="000B52DA"/>
    <w:rsid w:val="000C5D43"/>
    <w:rsid w:val="000D0193"/>
    <w:rsid w:val="000D11C1"/>
    <w:rsid w:val="000E4361"/>
    <w:rsid w:val="00105A55"/>
    <w:rsid w:val="00120CED"/>
    <w:rsid w:val="00130D1F"/>
    <w:rsid w:val="00163CD1"/>
    <w:rsid w:val="00171BE7"/>
    <w:rsid w:val="001839B5"/>
    <w:rsid w:val="00191BBD"/>
    <w:rsid w:val="001C0E26"/>
    <w:rsid w:val="001D0FA3"/>
    <w:rsid w:val="001D1660"/>
    <w:rsid w:val="001D4BF3"/>
    <w:rsid w:val="001E2361"/>
    <w:rsid w:val="001E3977"/>
    <w:rsid w:val="0023346B"/>
    <w:rsid w:val="00242CCF"/>
    <w:rsid w:val="00243A5A"/>
    <w:rsid w:val="00264A12"/>
    <w:rsid w:val="00264E7D"/>
    <w:rsid w:val="002A366C"/>
    <w:rsid w:val="002B557F"/>
    <w:rsid w:val="002D0731"/>
    <w:rsid w:val="002E667F"/>
    <w:rsid w:val="002E7925"/>
    <w:rsid w:val="0031048A"/>
    <w:rsid w:val="00320D31"/>
    <w:rsid w:val="00342A9F"/>
    <w:rsid w:val="00352D96"/>
    <w:rsid w:val="003714BF"/>
    <w:rsid w:val="00384D3A"/>
    <w:rsid w:val="003C0E5D"/>
    <w:rsid w:val="003C7BE2"/>
    <w:rsid w:val="003D4ADE"/>
    <w:rsid w:val="003E5744"/>
    <w:rsid w:val="003F19BE"/>
    <w:rsid w:val="003F26EC"/>
    <w:rsid w:val="00406E7F"/>
    <w:rsid w:val="00413154"/>
    <w:rsid w:val="00414600"/>
    <w:rsid w:val="0041675A"/>
    <w:rsid w:val="00422E37"/>
    <w:rsid w:val="00454326"/>
    <w:rsid w:val="004A721A"/>
    <w:rsid w:val="004B42B1"/>
    <w:rsid w:val="004D1283"/>
    <w:rsid w:val="004D18E8"/>
    <w:rsid w:val="004E220E"/>
    <w:rsid w:val="00514B6D"/>
    <w:rsid w:val="00527227"/>
    <w:rsid w:val="00530A08"/>
    <w:rsid w:val="005542D1"/>
    <w:rsid w:val="00556893"/>
    <w:rsid w:val="0056188D"/>
    <w:rsid w:val="005739E5"/>
    <w:rsid w:val="005C23C8"/>
    <w:rsid w:val="005C3F69"/>
    <w:rsid w:val="005C6EA2"/>
    <w:rsid w:val="005E7E9D"/>
    <w:rsid w:val="005F6181"/>
    <w:rsid w:val="00604C6C"/>
    <w:rsid w:val="00615FCE"/>
    <w:rsid w:val="006219B1"/>
    <w:rsid w:val="00636A52"/>
    <w:rsid w:val="00666EB3"/>
    <w:rsid w:val="00683051"/>
    <w:rsid w:val="006A7FAF"/>
    <w:rsid w:val="006B254A"/>
    <w:rsid w:val="006F2D0D"/>
    <w:rsid w:val="00704169"/>
    <w:rsid w:val="00711D7E"/>
    <w:rsid w:val="00711E46"/>
    <w:rsid w:val="00715864"/>
    <w:rsid w:val="00717094"/>
    <w:rsid w:val="00741F1D"/>
    <w:rsid w:val="007460A8"/>
    <w:rsid w:val="00750225"/>
    <w:rsid w:val="0075462A"/>
    <w:rsid w:val="00774838"/>
    <w:rsid w:val="007944C6"/>
    <w:rsid w:val="007A7C42"/>
    <w:rsid w:val="007B16C9"/>
    <w:rsid w:val="007D3A86"/>
    <w:rsid w:val="007E092A"/>
    <w:rsid w:val="007E2D96"/>
    <w:rsid w:val="007E55E3"/>
    <w:rsid w:val="007E7CA1"/>
    <w:rsid w:val="007F4688"/>
    <w:rsid w:val="0080011B"/>
    <w:rsid w:val="00813AEB"/>
    <w:rsid w:val="00841B18"/>
    <w:rsid w:val="00880C3C"/>
    <w:rsid w:val="008B211A"/>
    <w:rsid w:val="008C5BD4"/>
    <w:rsid w:val="008F22F4"/>
    <w:rsid w:val="008F4093"/>
    <w:rsid w:val="00902DB2"/>
    <w:rsid w:val="009133EC"/>
    <w:rsid w:val="009152ED"/>
    <w:rsid w:val="00923A10"/>
    <w:rsid w:val="009317A0"/>
    <w:rsid w:val="009868F3"/>
    <w:rsid w:val="009A3667"/>
    <w:rsid w:val="009B0AC7"/>
    <w:rsid w:val="009D1333"/>
    <w:rsid w:val="009D2E8F"/>
    <w:rsid w:val="009D6D0E"/>
    <w:rsid w:val="009E22D0"/>
    <w:rsid w:val="009E591E"/>
    <w:rsid w:val="00A14C12"/>
    <w:rsid w:val="00A203C1"/>
    <w:rsid w:val="00A2223F"/>
    <w:rsid w:val="00A402FA"/>
    <w:rsid w:val="00A4414A"/>
    <w:rsid w:val="00A67083"/>
    <w:rsid w:val="00AB04D1"/>
    <w:rsid w:val="00AC156D"/>
    <w:rsid w:val="00AF5C6E"/>
    <w:rsid w:val="00B073A0"/>
    <w:rsid w:val="00B15A67"/>
    <w:rsid w:val="00B26AD1"/>
    <w:rsid w:val="00B27EDB"/>
    <w:rsid w:val="00B44F1B"/>
    <w:rsid w:val="00B71F51"/>
    <w:rsid w:val="00B72D7E"/>
    <w:rsid w:val="00B75089"/>
    <w:rsid w:val="00B819D1"/>
    <w:rsid w:val="00B87EE2"/>
    <w:rsid w:val="00BA4261"/>
    <w:rsid w:val="00BA558F"/>
    <w:rsid w:val="00BB2790"/>
    <w:rsid w:val="00BD129D"/>
    <w:rsid w:val="00BD6CE0"/>
    <w:rsid w:val="00BF16F1"/>
    <w:rsid w:val="00C12EA7"/>
    <w:rsid w:val="00C238CB"/>
    <w:rsid w:val="00C51FC0"/>
    <w:rsid w:val="00C63C0E"/>
    <w:rsid w:val="00C80431"/>
    <w:rsid w:val="00C91CFA"/>
    <w:rsid w:val="00CA0574"/>
    <w:rsid w:val="00D05011"/>
    <w:rsid w:val="00D13769"/>
    <w:rsid w:val="00D14417"/>
    <w:rsid w:val="00D14EA9"/>
    <w:rsid w:val="00D17CF0"/>
    <w:rsid w:val="00D333D8"/>
    <w:rsid w:val="00D54284"/>
    <w:rsid w:val="00D600AA"/>
    <w:rsid w:val="00D94818"/>
    <w:rsid w:val="00DA10EA"/>
    <w:rsid w:val="00DC4C8E"/>
    <w:rsid w:val="00DE09EA"/>
    <w:rsid w:val="00DE4E7C"/>
    <w:rsid w:val="00DF08C6"/>
    <w:rsid w:val="00E01407"/>
    <w:rsid w:val="00E01C74"/>
    <w:rsid w:val="00E40AC5"/>
    <w:rsid w:val="00E804CF"/>
    <w:rsid w:val="00EA5F20"/>
    <w:rsid w:val="00EB0889"/>
    <w:rsid w:val="00EE496B"/>
    <w:rsid w:val="00F02B7B"/>
    <w:rsid w:val="00F11E12"/>
    <w:rsid w:val="00F2718E"/>
    <w:rsid w:val="00F5319A"/>
    <w:rsid w:val="00F76CDD"/>
    <w:rsid w:val="00F826C7"/>
    <w:rsid w:val="00FB00F4"/>
    <w:rsid w:val="00FB1F50"/>
    <w:rsid w:val="00FB4711"/>
    <w:rsid w:val="00FC4852"/>
    <w:rsid w:val="00FC4B4E"/>
    <w:rsid w:val="00FD7002"/>
    <w:rsid w:val="00FF16B8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A8A417"/>
  <w15:docId w15:val="{C751C4DC-61D6-4804-B31B-6212D28FC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D6C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C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CE0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C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CE0"/>
    <w:rPr>
      <w:rFonts w:ascii="Calibri" w:hAnsi="Calibri"/>
      <w:b/>
      <w:bCs/>
    </w:rPr>
  </w:style>
  <w:style w:type="paragraph" w:styleId="Revision">
    <w:name w:val="Revision"/>
    <w:hidden/>
    <w:uiPriority w:val="99"/>
    <w:semiHidden/>
    <w:rsid w:val="00923A1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internalonly" value=""/>
</sisl>
</file>

<file path=customXml/itemProps1.xml><?xml version="1.0" encoding="utf-8"?>
<ds:datastoreItem xmlns:ds="http://schemas.openxmlformats.org/officeDocument/2006/customXml" ds:itemID="{D108E5E1-2A0F-4838-8EEE-3C6894DDE68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837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Internal Only</dc:description>
  <cp:lastModifiedBy>Rebecca Lee</cp:lastModifiedBy>
  <cp:revision>3</cp:revision>
  <dcterms:created xsi:type="dcterms:W3CDTF">2023-05-12T08:26:00Z</dcterms:created>
  <dcterms:modified xsi:type="dcterms:W3CDTF">2023-05-17T11:11:00Z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b3798363-74e7-4ce4-a88e-7c14dde27187</vt:lpwstr>
  </property>
  <property fmtid="{D5CDD505-2E9C-101B-9397-08002B2CF9AE}" pid="3" name="bjSaver">
    <vt:lpwstr>oXOUEi8iiERP3cXc1x7LjTzutPDbjxzu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uid="id_classification_internalonly" value="" /&gt;&lt;/sisl&gt;</vt:lpwstr>
  </property>
  <property fmtid="{D5CDD505-2E9C-101B-9397-08002B2CF9AE}" pid="6" name="bjDocumentSecurityLabel">
    <vt:lpwstr>MPS Internal Only</vt:lpwstr>
  </property>
  <property fmtid="{D5CDD505-2E9C-101B-9397-08002B2CF9AE}" pid="7" name="MPSClassification:">
    <vt:lpwstr>MPS Internal Only</vt:lpwstr>
  </property>
</Properties>
</file>