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71D1BB76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32CAF0EC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2E895C7C" w14:textId="60F05B47" w:rsidR="00F5319A" w:rsidRPr="00B75089" w:rsidRDefault="00C93E2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Actuarial Analyst (Capital)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6ADD736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36262E79" w14:textId="22FEB068" w:rsidR="00F5319A" w:rsidRPr="00B75089" w:rsidRDefault="008E06F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Head of </w:t>
            </w:r>
            <w:r w:rsidR="001D0B28">
              <w:rPr>
                <w:rFonts w:ascii="Arial" w:hAnsi="Arial" w:cs="Arial"/>
                <w:sz w:val="20"/>
                <w:szCs w:val="20"/>
              </w:rPr>
              <w:t>Actuarial</w:t>
            </w:r>
          </w:p>
        </w:tc>
      </w:tr>
      <w:tr w:rsidR="00F5319A" w:rsidRPr="00B75089" w14:paraId="5E8B65FF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1611801A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386C1E04" w14:textId="77777777" w:rsidR="00F5319A" w:rsidRPr="00B75089" w:rsidRDefault="008E06F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 Services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6C85E9D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6FE27ABC" w14:textId="4AFFD321" w:rsidR="00F5319A" w:rsidRPr="00B75089" w:rsidRDefault="00071A0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Actuarial</w:t>
            </w:r>
          </w:p>
        </w:tc>
      </w:tr>
      <w:tr w:rsidR="00F5319A" w:rsidRPr="00B75089" w14:paraId="3F38F03D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4D4D07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34E1D21" w14:textId="77777777" w:rsidR="00F5319A" w:rsidRPr="008E06F8" w:rsidRDefault="008E06F8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direct reports</w:t>
            </w:r>
          </w:p>
          <w:p w14:paraId="36C041C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8A8FB8A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55C69B19" w14:textId="77777777" w:rsidR="00B75089" w:rsidRPr="00B75089" w:rsidRDefault="008D3331" w:rsidP="003B4A9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MPS Capital activities</w:t>
            </w:r>
          </w:p>
        </w:tc>
      </w:tr>
      <w:tr w:rsidR="00F5319A" w:rsidRPr="00B75089" w14:paraId="221DDCFA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6652C0E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257CB08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D14E9B8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1656FC68" w14:textId="6715A721" w:rsidR="00F5319A" w:rsidRPr="00B75089" w:rsidRDefault="00C23E2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23E6">
              <w:rPr>
                <w:rFonts w:ascii="Arial" w:hAnsi="Arial" w:cs="Arial"/>
                <w:sz w:val="20"/>
                <w:szCs w:val="20"/>
              </w:rPr>
              <w:t>No direct reports or budget control</w:t>
            </w:r>
          </w:p>
        </w:tc>
      </w:tr>
      <w:tr w:rsidR="00F5319A" w:rsidRPr="00B75089" w14:paraId="3197C679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EB32953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45526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0783AC7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1F739E97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3895EBBF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26A5D71A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4339D90C" w14:textId="19FC3EB3" w:rsidR="007E7CA1" w:rsidRPr="00B75089" w:rsidRDefault="00624C2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  <w:r w:rsidR="00F14B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18CA"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D9D9D9" w:themeFill="background1" w:themeFillShade="D9"/>
          </w:tcPr>
          <w:p w14:paraId="1D488654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025601F6" w14:textId="73E902D8" w:rsidR="007E7CA1" w:rsidRPr="00B75089" w:rsidRDefault="00BA157B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Member </w:t>
            </w:r>
            <w:r w:rsidR="00F14B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Risk &amp; Exposure </w:t>
            </w:r>
          </w:p>
        </w:tc>
      </w:tr>
    </w:tbl>
    <w:p w14:paraId="6A81CCC3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1146D225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1099458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0D5370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318C044C" w14:textId="77777777" w:rsidTr="009E22D0">
        <w:trPr>
          <w:trHeight w:val="693"/>
        </w:trPr>
        <w:tc>
          <w:tcPr>
            <w:tcW w:w="10509" w:type="dxa"/>
          </w:tcPr>
          <w:p w14:paraId="64F8A2D7" w14:textId="258CA976" w:rsidR="009E22D0" w:rsidRPr="007455F6" w:rsidRDefault="004C6442" w:rsidP="003B4A9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455F6">
              <w:rPr>
                <w:rFonts w:ascii="Arial" w:hAnsi="Arial" w:cs="Arial"/>
                <w:sz w:val="20"/>
                <w:szCs w:val="20"/>
              </w:rPr>
              <w:t xml:space="preserve">The purpose of the role is to </w:t>
            </w:r>
            <w:r w:rsidR="00E32639">
              <w:rPr>
                <w:rFonts w:ascii="Arial" w:hAnsi="Arial" w:cs="Arial"/>
                <w:sz w:val="20"/>
                <w:szCs w:val="20"/>
              </w:rPr>
              <w:t>assess the capital requirements relating to discretionary business</w:t>
            </w:r>
            <w:r w:rsidRPr="007455F6">
              <w:rPr>
                <w:rFonts w:ascii="Arial" w:hAnsi="Arial" w:cs="Arial"/>
                <w:sz w:val="20"/>
                <w:szCs w:val="20"/>
              </w:rPr>
              <w:t xml:space="preserve"> and communicate the risks and uncertainty to senior management.</w:t>
            </w:r>
            <w:r w:rsidR="003B4A9F" w:rsidRPr="007455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54B7">
              <w:rPr>
                <w:rFonts w:ascii="Arial" w:hAnsi="Arial" w:cs="Arial"/>
                <w:sz w:val="20"/>
                <w:szCs w:val="20"/>
              </w:rPr>
              <w:t>The role will also provide internal support as required to third parties on capital modellin</w:t>
            </w:r>
            <w:r w:rsidR="00C93E2C">
              <w:rPr>
                <w:rFonts w:ascii="Arial" w:hAnsi="Arial" w:cs="Arial"/>
                <w:sz w:val="20"/>
                <w:szCs w:val="20"/>
              </w:rPr>
              <w:t>g</w:t>
            </w:r>
            <w:r w:rsidR="003B4A9F" w:rsidRPr="007455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38DAA8E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57767DCE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4CD4E65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95B93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70EFB830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7A0CA3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6043A526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239E24" w14:textId="77777777" w:rsidR="009E22D0" w:rsidRPr="00B75089" w:rsidRDefault="009E22D0" w:rsidP="00EC0D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11474AFA" w14:textId="77777777" w:rsidTr="009E22D0">
        <w:trPr>
          <w:trHeight w:val="578"/>
        </w:trPr>
        <w:tc>
          <w:tcPr>
            <w:tcW w:w="6346" w:type="dxa"/>
          </w:tcPr>
          <w:p w14:paraId="77C5208C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607E9D75" w14:textId="77777777" w:rsidR="009E22D0" w:rsidRPr="00E32639" w:rsidRDefault="00D20ADC" w:rsidP="00E3263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d</w:t>
            </w:r>
            <w:r w:rsidR="00493D6A">
              <w:rPr>
                <w:rFonts w:ascii="Arial" w:hAnsi="Arial" w:cs="Arial"/>
                <w:sz w:val="20"/>
                <w:szCs w:val="20"/>
              </w:rPr>
              <w:t>eliver</w:t>
            </w:r>
            <w:r w:rsidR="00C35662">
              <w:rPr>
                <w:rFonts w:ascii="Arial" w:hAnsi="Arial" w:cs="Arial"/>
                <w:sz w:val="20"/>
                <w:szCs w:val="20"/>
              </w:rPr>
              <w:t xml:space="preserve">y of annual capital assessment for MPS discretionary business </w:t>
            </w:r>
            <w:r w:rsidR="00CB0797">
              <w:rPr>
                <w:rFonts w:ascii="Arial" w:hAnsi="Arial" w:cs="Arial"/>
                <w:sz w:val="20"/>
                <w:szCs w:val="20"/>
              </w:rPr>
              <w:t>for use in</w:t>
            </w:r>
            <w:r w:rsidR="00C35662">
              <w:rPr>
                <w:rFonts w:ascii="Arial" w:hAnsi="Arial" w:cs="Arial"/>
                <w:sz w:val="20"/>
                <w:szCs w:val="20"/>
              </w:rPr>
              <w:t xml:space="preserve"> financial planning and decision making</w:t>
            </w:r>
          </w:p>
        </w:tc>
        <w:tc>
          <w:tcPr>
            <w:tcW w:w="4141" w:type="dxa"/>
          </w:tcPr>
          <w:p w14:paraId="746B826B" w14:textId="77777777" w:rsidR="004C6442" w:rsidRDefault="004C6442" w:rsidP="004C6442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7738CF" w14:textId="77777777" w:rsidR="004C6442" w:rsidRDefault="004C6442" w:rsidP="004C6442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400ACD5" w14:textId="77777777" w:rsidR="005321AC" w:rsidRDefault="00C35662" w:rsidP="00C45B9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Capital assessment</w:t>
            </w:r>
            <w:r w:rsidR="00CB0797">
              <w:rPr>
                <w:rFonts w:ascii="Arial" w:hAnsi="Arial" w:cs="Arial"/>
                <w:sz w:val="20"/>
                <w:szCs w:val="20"/>
              </w:rPr>
              <w:t xml:space="preserve"> delivered within defined timescales</w:t>
            </w:r>
            <w:r w:rsidR="00391852">
              <w:rPr>
                <w:rFonts w:ascii="Arial" w:hAnsi="Arial" w:cs="Arial"/>
                <w:sz w:val="20"/>
                <w:szCs w:val="20"/>
              </w:rPr>
              <w:t xml:space="preserve"> and subject to appropriate governance</w:t>
            </w:r>
          </w:p>
          <w:p w14:paraId="19815284" w14:textId="2A90D2BF" w:rsidR="00C45B91" w:rsidRPr="00C45B91" w:rsidRDefault="00C45B91" w:rsidP="00C45B9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 validation </w:t>
            </w:r>
            <w:r w:rsidR="002E7BC2">
              <w:rPr>
                <w:rFonts w:ascii="Arial" w:hAnsi="Arial" w:cs="Arial"/>
                <w:sz w:val="20"/>
                <w:szCs w:val="20"/>
              </w:rPr>
              <w:t xml:space="preserve">including scenario testing and benchmarking against standard formula calculation </w:t>
            </w:r>
            <w:r>
              <w:rPr>
                <w:rFonts w:ascii="Arial" w:hAnsi="Arial" w:cs="Arial"/>
                <w:sz w:val="20"/>
                <w:szCs w:val="20"/>
              </w:rPr>
              <w:t>delivered within defined timescales</w:t>
            </w:r>
          </w:p>
        </w:tc>
      </w:tr>
      <w:tr w:rsidR="009E22D0" w:rsidRPr="00B75089" w14:paraId="15A40BA0" w14:textId="77777777" w:rsidTr="009E22D0">
        <w:trPr>
          <w:trHeight w:val="591"/>
        </w:trPr>
        <w:tc>
          <w:tcPr>
            <w:tcW w:w="6346" w:type="dxa"/>
          </w:tcPr>
          <w:p w14:paraId="7714150F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39FC9747" w14:textId="10AFA619" w:rsidR="00C45B91" w:rsidRDefault="00C45B91" w:rsidP="00AA783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Train Actuarial Analysts on capital modelling best practice </w:t>
            </w:r>
          </w:p>
          <w:p w14:paraId="3088B5D4" w14:textId="0B65E2F3" w:rsidR="00A154B7" w:rsidRPr="00A6105A" w:rsidRDefault="00D20ADC" w:rsidP="00AA783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 relationships</w:t>
            </w:r>
            <w:r w:rsidR="00A154B7">
              <w:rPr>
                <w:rFonts w:ascii="Arial" w:hAnsi="Arial" w:cs="Arial"/>
                <w:sz w:val="20"/>
                <w:szCs w:val="20"/>
              </w:rPr>
              <w:t xml:space="preserve"> with internal stakeholders to provide confidence in MPS’s capital modelling </w:t>
            </w:r>
            <w:r w:rsidR="00071A0D">
              <w:rPr>
                <w:rFonts w:ascii="Arial" w:hAnsi="Arial" w:cs="Arial"/>
                <w:sz w:val="20"/>
                <w:szCs w:val="20"/>
              </w:rPr>
              <w:t>capabilities</w:t>
            </w:r>
            <w:r w:rsidR="00A154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07B460AF" w14:textId="77777777" w:rsidR="00CB0797" w:rsidRDefault="00CB0797" w:rsidP="00CB0797">
            <w:pPr>
              <w:tabs>
                <w:tab w:val="left" w:pos="314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7A05BB" w14:textId="6C3EE0C1" w:rsidR="00C45B91" w:rsidRDefault="00C45B91" w:rsidP="004C6442">
            <w:pPr>
              <w:pStyle w:val="ListParagraph"/>
              <w:numPr>
                <w:ilvl w:val="0"/>
                <w:numId w:val="13"/>
              </w:numPr>
              <w:tabs>
                <w:tab w:val="left" w:pos="3145"/>
              </w:tabs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from team and from stakeholders</w:t>
            </w:r>
          </w:p>
          <w:p w14:paraId="2DEDC4CF" w14:textId="38FA49B1" w:rsidR="00CB0797" w:rsidRPr="004C6442" w:rsidRDefault="004C6442" w:rsidP="004C6442">
            <w:pPr>
              <w:pStyle w:val="ListParagraph"/>
              <w:numPr>
                <w:ilvl w:val="0"/>
                <w:numId w:val="13"/>
              </w:numPr>
              <w:tabs>
                <w:tab w:val="left" w:pos="3145"/>
              </w:tabs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 in the amount of </w:t>
            </w:r>
            <w:r w:rsidR="003206BE">
              <w:rPr>
                <w:rFonts w:ascii="Arial" w:hAnsi="Arial" w:cs="Arial"/>
                <w:sz w:val="20"/>
                <w:szCs w:val="20"/>
              </w:rPr>
              <w:t>capital modelling</w:t>
            </w:r>
            <w:r>
              <w:rPr>
                <w:rFonts w:ascii="Arial" w:hAnsi="Arial" w:cs="Arial"/>
                <w:sz w:val="20"/>
                <w:szCs w:val="20"/>
              </w:rPr>
              <w:t xml:space="preserve"> work that is performed by the Actuarial Analysts</w:t>
            </w:r>
          </w:p>
        </w:tc>
      </w:tr>
      <w:tr w:rsidR="009E22D0" w:rsidRPr="00B75089" w14:paraId="5A35F3D6" w14:textId="77777777" w:rsidTr="009E22D0">
        <w:trPr>
          <w:trHeight w:val="591"/>
        </w:trPr>
        <w:tc>
          <w:tcPr>
            <w:tcW w:w="6346" w:type="dxa"/>
          </w:tcPr>
          <w:p w14:paraId="515EA51B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36F0EE8D" w14:textId="7D01B800" w:rsidR="00391852" w:rsidRDefault="00C45B91" w:rsidP="00AA783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 and document</w:t>
            </w:r>
            <w:r w:rsidR="00391852">
              <w:rPr>
                <w:rFonts w:ascii="Arial" w:hAnsi="Arial" w:cs="Arial"/>
                <w:sz w:val="20"/>
                <w:szCs w:val="20"/>
              </w:rPr>
              <w:t xml:space="preserve"> appropriate controls to manage the risk within the </w:t>
            </w:r>
            <w:r w:rsidR="003206BE">
              <w:rPr>
                <w:rFonts w:ascii="Arial" w:hAnsi="Arial" w:cs="Arial"/>
                <w:sz w:val="20"/>
                <w:szCs w:val="20"/>
              </w:rPr>
              <w:t>capital modelling</w:t>
            </w:r>
            <w:r w:rsidR="00391852">
              <w:rPr>
                <w:rFonts w:ascii="Arial" w:hAnsi="Arial" w:cs="Arial"/>
                <w:sz w:val="20"/>
                <w:szCs w:val="20"/>
              </w:rPr>
              <w:t xml:space="preserve"> process</w:t>
            </w:r>
          </w:p>
          <w:p w14:paraId="254020BA" w14:textId="77777777" w:rsidR="00A154B7" w:rsidRDefault="00C45B91" w:rsidP="00AA783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Perform model validation </w:t>
            </w:r>
            <w:r w:rsidR="00753DFB">
              <w:rPr>
                <w:rFonts w:ascii="Arial" w:hAnsi="Arial" w:cs="Arial"/>
                <w:sz w:val="20"/>
                <w:szCs w:val="20"/>
              </w:rPr>
              <w:t>to ensure a consistent view of risks between the capital model and Group Risk &amp; Compliance</w:t>
            </w:r>
          </w:p>
          <w:p w14:paraId="53FC66B8" w14:textId="0C783050" w:rsidR="002E7BC2" w:rsidRPr="00AA783F" w:rsidRDefault="002E7BC2" w:rsidP="00AA783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Group Risk &amp; Compliance to prepare an ORSA</w:t>
            </w:r>
          </w:p>
        </w:tc>
        <w:tc>
          <w:tcPr>
            <w:tcW w:w="4141" w:type="dxa"/>
          </w:tcPr>
          <w:p w14:paraId="14FD9656" w14:textId="77777777" w:rsidR="004C6442" w:rsidRPr="004C6442" w:rsidRDefault="004C6442" w:rsidP="004C6442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F7D0D86" w14:textId="77777777" w:rsidR="009E22D0" w:rsidRPr="00285446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  <w:r w:rsidR="0056188D" w:rsidRPr="00B750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B7CB4EE" w14:textId="77777777" w:rsidR="00A154B7" w:rsidRPr="00B75089" w:rsidRDefault="00A154B7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Feedback from Group Risk &amp; Compliance</w:t>
            </w:r>
          </w:p>
        </w:tc>
      </w:tr>
    </w:tbl>
    <w:p w14:paraId="62D84FBA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5BAF7F63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F777D7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162C5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3156F4EE" w14:textId="77777777" w:rsidTr="00FF16B8">
        <w:trPr>
          <w:trHeight w:val="693"/>
        </w:trPr>
        <w:tc>
          <w:tcPr>
            <w:tcW w:w="10490" w:type="dxa"/>
          </w:tcPr>
          <w:p w14:paraId="76B6CFE1" w14:textId="63EE8FEB" w:rsidR="00493D6A" w:rsidRDefault="00C45B91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d</w:t>
            </w:r>
            <w:r w:rsidR="00493D6A" w:rsidRPr="00493D6A">
              <w:rPr>
                <w:rFonts w:ascii="Arial" w:hAnsi="Arial" w:cs="Arial"/>
                <w:sz w:val="20"/>
                <w:szCs w:val="20"/>
              </w:rPr>
              <w:t>eliver</w:t>
            </w:r>
            <w:r>
              <w:rPr>
                <w:rFonts w:ascii="Arial" w:hAnsi="Arial" w:cs="Arial"/>
                <w:sz w:val="20"/>
                <w:szCs w:val="20"/>
              </w:rPr>
              <w:t>y of</w:t>
            </w:r>
            <w:r w:rsidR="00493D6A" w:rsidRPr="00493D6A">
              <w:rPr>
                <w:rFonts w:ascii="Arial" w:hAnsi="Arial" w:cs="Arial"/>
                <w:sz w:val="20"/>
                <w:szCs w:val="20"/>
              </w:rPr>
              <w:t xml:space="preserve"> the annual </w:t>
            </w:r>
            <w:r w:rsidR="00E32639">
              <w:rPr>
                <w:rFonts w:ascii="Arial" w:hAnsi="Arial" w:cs="Arial"/>
                <w:sz w:val="20"/>
                <w:szCs w:val="20"/>
              </w:rPr>
              <w:t>capital assessment for MPS discretionary 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A87ED0">
              <w:rPr>
                <w:rFonts w:ascii="Arial" w:hAnsi="Arial" w:cs="Arial"/>
                <w:sz w:val="20"/>
                <w:szCs w:val="20"/>
              </w:rPr>
              <w:t xml:space="preserve"> includ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="00A87ED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E51DF8D" w14:textId="77777777" w:rsidR="00A87ED0" w:rsidRDefault="00A87ED0" w:rsidP="004A0046">
            <w:pPr>
              <w:pStyle w:val="ListParagraph"/>
              <w:numPr>
                <w:ilvl w:val="1"/>
                <w:numId w:val="5"/>
              </w:numPr>
              <w:ind w:left="92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Delivering a</w:t>
            </w:r>
            <w:r w:rsidR="00E32639">
              <w:rPr>
                <w:rFonts w:ascii="Arial" w:hAnsi="Arial" w:cs="Arial"/>
                <w:sz w:val="20"/>
                <w:szCs w:val="20"/>
              </w:rPr>
              <w:t xml:space="preserve"> Capital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explaining results, key movements and key assumptions</w:t>
            </w:r>
          </w:p>
          <w:p w14:paraId="05FA04F5" w14:textId="77777777" w:rsidR="00A87ED0" w:rsidRPr="00A87ED0" w:rsidRDefault="004A0046" w:rsidP="004A0046">
            <w:pPr>
              <w:pStyle w:val="ListParagraph"/>
              <w:numPr>
                <w:ilvl w:val="1"/>
                <w:numId w:val="5"/>
              </w:numPr>
              <w:ind w:left="92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</w:t>
            </w:r>
            <w:r w:rsidR="00E32639">
              <w:rPr>
                <w:rFonts w:ascii="Arial" w:hAnsi="Arial" w:cs="Arial"/>
                <w:sz w:val="20"/>
                <w:szCs w:val="20"/>
              </w:rPr>
              <w:t>ming model validation and delivering a validation report to relevant committees</w:t>
            </w:r>
          </w:p>
          <w:p w14:paraId="639CF196" w14:textId="77777777" w:rsidR="00A87ED0" w:rsidRDefault="00A87ED0" w:rsidP="004A0046">
            <w:pPr>
              <w:pStyle w:val="ListParagraph"/>
              <w:numPr>
                <w:ilvl w:val="1"/>
                <w:numId w:val="5"/>
              </w:numPr>
              <w:ind w:left="924" w:hanging="357"/>
              <w:rPr>
                <w:rFonts w:ascii="Arial" w:hAnsi="Arial" w:cs="Arial"/>
                <w:sz w:val="20"/>
                <w:szCs w:val="20"/>
              </w:rPr>
            </w:pPr>
            <w:r w:rsidRPr="00A87ED0">
              <w:rPr>
                <w:rFonts w:ascii="Arial" w:hAnsi="Arial" w:cs="Arial"/>
                <w:sz w:val="20"/>
                <w:szCs w:val="20"/>
              </w:rPr>
              <w:lastRenderedPageBreak/>
              <w:t>Communicat</w:t>
            </w:r>
            <w:r>
              <w:rPr>
                <w:rFonts w:ascii="Arial" w:hAnsi="Arial" w:cs="Arial"/>
                <w:sz w:val="20"/>
                <w:szCs w:val="20"/>
              </w:rPr>
              <w:t>ion of</w:t>
            </w:r>
            <w:r w:rsidRPr="00A87ED0">
              <w:rPr>
                <w:rFonts w:ascii="Arial" w:hAnsi="Arial" w:cs="Arial"/>
                <w:sz w:val="20"/>
                <w:szCs w:val="20"/>
              </w:rPr>
              <w:t xml:space="preserve"> results, key assumptions and uncertainties to relevant committe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  <w:p w14:paraId="16ECE561" w14:textId="77777777" w:rsidR="00A87ED0" w:rsidRDefault="00A87ED0" w:rsidP="004A0046">
            <w:pPr>
              <w:pStyle w:val="ListParagraph"/>
              <w:numPr>
                <w:ilvl w:val="1"/>
                <w:numId w:val="5"/>
              </w:numPr>
              <w:ind w:left="92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all appropriate governance (</w:t>
            </w:r>
            <w:r w:rsidR="00E32639">
              <w:rPr>
                <w:rFonts w:ascii="Arial" w:hAnsi="Arial" w:cs="Arial"/>
                <w:sz w:val="20"/>
                <w:szCs w:val="20"/>
              </w:rPr>
              <w:t>particularly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E32639">
              <w:rPr>
                <w:rFonts w:ascii="Arial" w:hAnsi="Arial" w:cs="Arial"/>
                <w:sz w:val="20"/>
                <w:szCs w:val="20"/>
              </w:rPr>
              <w:t>Capital Modelling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 and Technical Actuarial Standards)</w:t>
            </w:r>
          </w:p>
          <w:p w14:paraId="20F89DF3" w14:textId="5AFACEA8" w:rsidR="00C45B91" w:rsidRDefault="00C45B91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and implement model changes as required in line with the Capital Modelling Policy</w:t>
            </w:r>
          </w:p>
          <w:p w14:paraId="19288492" w14:textId="079CAF2A" w:rsidR="00A87ED0" w:rsidRDefault="00C93E2C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with</w:t>
            </w:r>
            <w:r w:rsidR="00A87ED0" w:rsidRPr="004A0046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3206BE">
              <w:rPr>
                <w:rFonts w:ascii="Arial" w:hAnsi="Arial" w:cs="Arial"/>
                <w:sz w:val="20"/>
                <w:szCs w:val="20"/>
              </w:rPr>
              <w:t>capital modelling</w:t>
            </w:r>
            <w:r w:rsidR="00A87ED0" w:rsidRPr="004A0046">
              <w:rPr>
                <w:rFonts w:ascii="Arial" w:hAnsi="Arial" w:cs="Arial"/>
                <w:sz w:val="20"/>
                <w:szCs w:val="20"/>
              </w:rPr>
              <w:t xml:space="preserve"> element of MPS 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as identified by the Head of Actuarial</w:t>
            </w:r>
          </w:p>
          <w:p w14:paraId="42728FB5" w14:textId="77777777" w:rsidR="00E32639" w:rsidRPr="004A0046" w:rsidRDefault="00E32639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capital modelling work for SPA 1892</w:t>
            </w:r>
          </w:p>
          <w:p w14:paraId="596EE604" w14:textId="0070EF65" w:rsidR="00A87ED0" w:rsidRPr="004A0046" w:rsidRDefault="00C45B91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32639">
              <w:rPr>
                <w:rFonts w:ascii="Arial" w:hAnsi="Arial" w:cs="Arial"/>
                <w:sz w:val="20"/>
                <w:szCs w:val="20"/>
              </w:rPr>
              <w:t xml:space="preserve">aintain model documentation </w:t>
            </w:r>
            <w:r>
              <w:rPr>
                <w:rFonts w:ascii="Arial" w:hAnsi="Arial" w:cs="Arial"/>
                <w:sz w:val="20"/>
                <w:szCs w:val="20"/>
              </w:rPr>
              <w:t>and write new documentation as required</w:t>
            </w:r>
          </w:p>
          <w:p w14:paraId="2393A1E4" w14:textId="77777777" w:rsidR="004A0046" w:rsidRDefault="00493D6A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 w:rsidRPr="004A0046">
              <w:rPr>
                <w:rFonts w:ascii="Arial" w:hAnsi="Arial" w:cs="Arial"/>
                <w:sz w:val="20"/>
                <w:szCs w:val="20"/>
              </w:rPr>
              <w:t>S</w:t>
            </w:r>
            <w:r w:rsidR="008930ED" w:rsidRPr="004A0046">
              <w:rPr>
                <w:rFonts w:ascii="Arial" w:hAnsi="Arial" w:cs="Arial"/>
                <w:sz w:val="20"/>
                <w:szCs w:val="20"/>
              </w:rPr>
              <w:t xml:space="preserve">tay abreast of best practice </w:t>
            </w:r>
            <w:r w:rsidR="004A0046" w:rsidRPr="004A0046">
              <w:rPr>
                <w:rFonts w:ascii="Arial" w:hAnsi="Arial" w:cs="Arial"/>
                <w:sz w:val="20"/>
                <w:szCs w:val="20"/>
              </w:rPr>
              <w:t>to</w:t>
            </w:r>
            <w:r w:rsidR="008930ED" w:rsidRPr="004A0046">
              <w:rPr>
                <w:rFonts w:ascii="Arial" w:hAnsi="Arial" w:cs="Arial"/>
                <w:sz w:val="20"/>
                <w:szCs w:val="20"/>
              </w:rPr>
              <w:t xml:space="preserve"> ensure that all actuarial work is of the highest standard and improve the use and understanding of actuarial analysis within MPS.</w:t>
            </w:r>
          </w:p>
          <w:p w14:paraId="7C49ABF6" w14:textId="46330337" w:rsidR="005321AC" w:rsidRPr="002E7BC2" w:rsidRDefault="004D18E8" w:rsidP="002E7BC2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 w:rsidRPr="004A0046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6FFF0BF9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26DC075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267B5488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66AFA9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788405A7" w14:textId="77777777" w:rsidTr="007F42E6">
        <w:trPr>
          <w:trHeight w:val="693"/>
        </w:trPr>
        <w:tc>
          <w:tcPr>
            <w:tcW w:w="10490" w:type="dxa"/>
          </w:tcPr>
          <w:p w14:paraId="577D2F14" w14:textId="4B74C4BA" w:rsidR="005542D1" w:rsidRPr="00B75089" w:rsidRDefault="00C93E2C" w:rsidP="00B75089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ind w:left="35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Attends</w:t>
            </w:r>
            <w:r w:rsidR="008930ED">
              <w:rPr>
                <w:rFonts w:ascii="Arial" w:hAnsi="Arial" w:cs="Arial"/>
                <w:sz w:val="20"/>
                <w:szCs w:val="20"/>
              </w:rPr>
              <w:t xml:space="preserve"> Capital &amp; Reinsurance Committee</w:t>
            </w:r>
          </w:p>
        </w:tc>
      </w:tr>
    </w:tbl>
    <w:p w14:paraId="7BD9CD61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39698D2A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DA8E9DD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20A538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36F1867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81711" w14:textId="77777777" w:rsidR="0056188D" w:rsidRPr="00391852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700C545C" w14:textId="77777777" w:rsidTr="00FF16B8">
        <w:trPr>
          <w:trHeight w:val="211"/>
        </w:trPr>
        <w:tc>
          <w:tcPr>
            <w:tcW w:w="6008" w:type="dxa"/>
          </w:tcPr>
          <w:p w14:paraId="2159619F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7D02D0AC" w14:textId="372BBA4D" w:rsidR="0056188D" w:rsidRPr="00B75089" w:rsidRDefault="00642B65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883B23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76F9969F" w14:textId="77777777" w:rsidTr="00FF16B8">
        <w:trPr>
          <w:trHeight w:val="211"/>
        </w:trPr>
        <w:tc>
          <w:tcPr>
            <w:tcW w:w="6008" w:type="dxa"/>
          </w:tcPr>
          <w:p w14:paraId="240D539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2E4DBA87" w14:textId="77777777" w:rsidR="004D18E8" w:rsidRPr="00B75089" w:rsidRDefault="0039185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0C06F1E3" w14:textId="77777777" w:rsidTr="00FF16B8">
        <w:trPr>
          <w:trHeight w:val="211"/>
        </w:trPr>
        <w:tc>
          <w:tcPr>
            <w:tcW w:w="6008" w:type="dxa"/>
          </w:tcPr>
          <w:p w14:paraId="601439D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2FBAC20" w14:textId="77777777" w:rsidR="004D18E8" w:rsidRPr="00B75089" w:rsidRDefault="0039185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22B2067C" w14:textId="77777777" w:rsidTr="00FF16B8">
        <w:trPr>
          <w:trHeight w:val="211"/>
        </w:trPr>
        <w:tc>
          <w:tcPr>
            <w:tcW w:w="6008" w:type="dxa"/>
          </w:tcPr>
          <w:p w14:paraId="017A5608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4D431CBB" w14:textId="77777777" w:rsidR="004D18E8" w:rsidRPr="00B75089" w:rsidRDefault="0039185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15FC9CA8" w14:textId="77777777" w:rsidTr="00FF16B8">
        <w:trPr>
          <w:trHeight w:val="211"/>
        </w:trPr>
        <w:tc>
          <w:tcPr>
            <w:tcW w:w="6008" w:type="dxa"/>
          </w:tcPr>
          <w:p w14:paraId="22AF853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42962B01" w14:textId="77777777" w:rsidR="004D18E8" w:rsidRPr="00B75089" w:rsidRDefault="0039185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83650B8" w14:textId="77777777" w:rsidTr="00FF16B8">
        <w:trPr>
          <w:trHeight w:val="211"/>
        </w:trPr>
        <w:tc>
          <w:tcPr>
            <w:tcW w:w="6008" w:type="dxa"/>
          </w:tcPr>
          <w:p w14:paraId="1712A3F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4128E06B" w14:textId="77777777" w:rsidR="004D18E8" w:rsidRPr="00B75089" w:rsidRDefault="00642B65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B75089" w14:paraId="50FC3F00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36C3999B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8E8A554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01B4F12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2B5514A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3E901E79" w14:textId="77777777" w:rsidTr="00883B23">
        <w:trPr>
          <w:cantSplit/>
          <w:trHeight w:val="192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809C8E6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37962528" w14:textId="592BC0E5" w:rsidR="00C93E2C" w:rsidRPr="00A0791D" w:rsidRDefault="00667A8A" w:rsidP="00A0791D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Advanced</w:t>
            </w:r>
            <w:r w:rsidR="008930ED" w:rsidRPr="008930E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B4A9F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8930ED" w:rsidRPr="008930ED">
              <w:rPr>
                <w:rFonts w:ascii="Arial" w:eastAsia="Calibri" w:hAnsi="Arial" w:cs="Arial"/>
                <w:sz w:val="20"/>
                <w:szCs w:val="20"/>
              </w:rPr>
              <w:t xml:space="preserve">nowledge of </w:t>
            </w:r>
            <w:r w:rsidR="003206BE">
              <w:rPr>
                <w:rFonts w:ascii="Arial" w:eastAsia="Calibri" w:hAnsi="Arial" w:cs="Arial"/>
                <w:sz w:val="20"/>
                <w:szCs w:val="20"/>
              </w:rPr>
              <w:t>capital modelling</w:t>
            </w:r>
          </w:p>
        </w:tc>
        <w:tc>
          <w:tcPr>
            <w:tcW w:w="3119" w:type="dxa"/>
          </w:tcPr>
          <w:p w14:paraId="161C3451" w14:textId="77777777" w:rsidR="008930ED" w:rsidRPr="00642B65" w:rsidRDefault="008930ED" w:rsidP="00D20ADC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 xml:space="preserve">Keen analytical, project </w:t>
            </w:r>
            <w:r w:rsidR="00642B65" w:rsidRPr="00642B65">
              <w:rPr>
                <w:rFonts w:ascii="Arial" w:eastAsia="Calibri" w:hAnsi="Arial" w:cs="Arial"/>
                <w:sz w:val="20"/>
                <w:szCs w:val="20"/>
              </w:rPr>
              <w:t>management</w:t>
            </w:r>
            <w:r w:rsidRPr="00642B65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proofErr w:type="gramStart"/>
            <w:r w:rsidRPr="00642B65">
              <w:rPr>
                <w:rFonts w:ascii="Arial" w:eastAsia="Calibri" w:hAnsi="Arial" w:cs="Arial"/>
                <w:sz w:val="20"/>
                <w:szCs w:val="20"/>
              </w:rPr>
              <w:t>problem solving</w:t>
            </w:r>
            <w:proofErr w:type="gramEnd"/>
            <w:r w:rsidRPr="00642B65">
              <w:rPr>
                <w:rFonts w:ascii="Arial" w:eastAsia="Calibri" w:hAnsi="Arial" w:cs="Arial"/>
                <w:sz w:val="20"/>
                <w:szCs w:val="20"/>
              </w:rPr>
              <w:t xml:space="preserve"> skills.</w:t>
            </w:r>
          </w:p>
          <w:p w14:paraId="530FD786" w14:textId="77777777" w:rsidR="00642B65" w:rsidRPr="00642B65" w:rsidRDefault="00642B65" w:rsidP="00D20ADC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Excellent Excel skills</w:t>
            </w:r>
          </w:p>
          <w:p w14:paraId="2C95D97B" w14:textId="32158796" w:rsidR="00D20ADC" w:rsidRPr="00D53417" w:rsidRDefault="008930ED" w:rsidP="00D53417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 xml:space="preserve">Excellent </w:t>
            </w:r>
            <w:r w:rsidR="008C688E">
              <w:rPr>
                <w:rFonts w:ascii="Arial" w:eastAsia="Calibri" w:hAnsi="Arial" w:cs="Arial"/>
                <w:sz w:val="20"/>
                <w:szCs w:val="20"/>
              </w:rPr>
              <w:t xml:space="preserve">communication skills </w:t>
            </w:r>
            <w:r w:rsidR="00D53417">
              <w:rPr>
                <w:rFonts w:ascii="Arial" w:eastAsia="Calibri" w:hAnsi="Arial" w:cs="Arial"/>
                <w:sz w:val="20"/>
                <w:szCs w:val="20"/>
              </w:rPr>
              <w:t>including the ability to explain complex concepts clearly both in presentations and actuarial reports</w:t>
            </w:r>
          </w:p>
        </w:tc>
        <w:tc>
          <w:tcPr>
            <w:tcW w:w="4394" w:type="dxa"/>
          </w:tcPr>
          <w:p w14:paraId="0BC50792" w14:textId="7DCB4270" w:rsidR="003206BE" w:rsidRPr="00642B65" w:rsidRDefault="003206BE" w:rsidP="003206BE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Building and running capital models</w:t>
            </w:r>
            <w:r w:rsidR="00C23E2C">
              <w:rPr>
                <w:rFonts w:ascii="Arial" w:eastAsia="Calibri" w:hAnsi="Arial" w:cs="Arial"/>
                <w:sz w:val="20"/>
                <w:szCs w:val="20"/>
              </w:rPr>
              <w:t xml:space="preserve"> for a non-life insurer</w:t>
            </w:r>
          </w:p>
          <w:p w14:paraId="20C0353F" w14:textId="02615A02" w:rsidR="003206BE" w:rsidRDefault="003206BE" w:rsidP="003206BE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Model validation</w:t>
            </w:r>
          </w:p>
          <w:p w14:paraId="6BC6C349" w14:textId="22E5346E" w:rsidR="00C23E2C" w:rsidRPr="00642B65" w:rsidRDefault="00C23E2C" w:rsidP="003206BE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Parameterising capital models</w:t>
            </w:r>
          </w:p>
          <w:p w14:paraId="08C77720" w14:textId="77777777" w:rsidR="003206BE" w:rsidRDefault="003206BE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Using capital modelling software (especially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ReMetrica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78CBD3FA" w14:textId="23FE4415" w:rsidR="003206BE" w:rsidRPr="00C93E2C" w:rsidRDefault="00642B65" w:rsidP="00C93E2C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Actuarial report writing</w:t>
            </w:r>
          </w:p>
        </w:tc>
      </w:tr>
      <w:tr w:rsidR="00FF16B8" w:rsidRPr="00B75089" w14:paraId="79F3F01C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9EDDD27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7000F43D" w14:textId="6FA6B82D" w:rsidR="00A0791D" w:rsidRDefault="00A0791D" w:rsidP="00C93E2C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All Core Institute and Faculty of Actuaries exams completed or equivalent</w:t>
            </w:r>
          </w:p>
          <w:p w14:paraId="7549E8CC" w14:textId="6F677BB0" w:rsidR="00E40AC5" w:rsidRDefault="00C93E2C" w:rsidP="00C93E2C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8930ED" w:rsidRPr="008930ED">
              <w:rPr>
                <w:rFonts w:ascii="Arial" w:eastAsia="Calibri" w:hAnsi="Arial" w:cs="Arial"/>
                <w:sz w:val="20"/>
                <w:szCs w:val="20"/>
              </w:rPr>
              <w:t xml:space="preserve">nowledge of </w:t>
            </w:r>
            <w:r w:rsidR="003206BE">
              <w:rPr>
                <w:rFonts w:ascii="Arial" w:eastAsia="Calibri" w:hAnsi="Arial" w:cs="Arial"/>
                <w:sz w:val="20"/>
                <w:szCs w:val="20"/>
              </w:rPr>
              <w:t>reserving</w:t>
            </w:r>
          </w:p>
          <w:p w14:paraId="2F74CCD3" w14:textId="77777777" w:rsidR="004A0046" w:rsidRDefault="004A0046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Numerical </w:t>
            </w:r>
            <w:r w:rsidR="008930ED" w:rsidRPr="004A0046">
              <w:rPr>
                <w:rFonts w:ascii="Arial" w:eastAsia="Calibri" w:hAnsi="Arial" w:cs="Arial"/>
                <w:sz w:val="20"/>
                <w:szCs w:val="20"/>
              </w:rPr>
              <w:t>degree</w:t>
            </w:r>
          </w:p>
          <w:p w14:paraId="45F1713D" w14:textId="7F8E68A2" w:rsidR="00C35662" w:rsidRPr="00C93E2C" w:rsidRDefault="00642B65" w:rsidP="00C93E2C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4A0046">
              <w:rPr>
                <w:rFonts w:ascii="Arial" w:eastAsia="Calibri" w:hAnsi="Arial" w:cs="Arial"/>
                <w:sz w:val="20"/>
                <w:szCs w:val="20"/>
              </w:rPr>
              <w:t xml:space="preserve">Knowledge of </w:t>
            </w:r>
            <w:r w:rsidR="004A0046">
              <w:rPr>
                <w:rFonts w:ascii="Arial" w:eastAsia="Calibri" w:hAnsi="Arial" w:cs="Arial"/>
                <w:sz w:val="20"/>
                <w:szCs w:val="20"/>
              </w:rPr>
              <w:t>clinical negligence</w:t>
            </w:r>
          </w:p>
        </w:tc>
        <w:tc>
          <w:tcPr>
            <w:tcW w:w="3119" w:type="dxa"/>
          </w:tcPr>
          <w:p w14:paraId="5A92048E" w14:textId="77777777" w:rsidR="00391852" w:rsidRPr="00391852" w:rsidRDefault="00642B65" w:rsidP="003B4A9F">
            <w:pPr>
              <w:pStyle w:val="ListParagraph"/>
              <w:numPr>
                <w:ilvl w:val="0"/>
                <w:numId w:val="5"/>
              </w:numPr>
              <w:ind w:left="470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VBA and SQL</w:t>
            </w:r>
          </w:p>
        </w:tc>
        <w:tc>
          <w:tcPr>
            <w:tcW w:w="4394" w:type="dxa"/>
          </w:tcPr>
          <w:p w14:paraId="36A4823D" w14:textId="33BFD87A" w:rsidR="002E7BC2" w:rsidRDefault="002E7BC2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Standard Formula calculation</w:t>
            </w:r>
          </w:p>
          <w:p w14:paraId="362C2149" w14:textId="25CFF987" w:rsidR="00C93E2C" w:rsidRDefault="00C93E2C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Experience of training and managing the workload of junior staff members</w:t>
            </w:r>
          </w:p>
          <w:p w14:paraId="28FC812A" w14:textId="4689F942" w:rsidR="00391852" w:rsidRPr="00642B65" w:rsidRDefault="00391852" w:rsidP="004A0046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Process improvement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automation</w:t>
            </w:r>
          </w:p>
        </w:tc>
      </w:tr>
    </w:tbl>
    <w:p w14:paraId="1E4F69CB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01E8D" w14:textId="77777777" w:rsidR="00C834E1" w:rsidRDefault="00C834E1" w:rsidP="009E22D0">
      <w:pPr>
        <w:spacing w:after="0" w:line="240" w:lineRule="auto"/>
      </w:pPr>
      <w:r>
        <w:separator/>
      </w:r>
    </w:p>
  </w:endnote>
  <w:endnote w:type="continuationSeparator" w:id="0">
    <w:p w14:paraId="6575A4C8" w14:textId="77777777" w:rsidR="00C834E1" w:rsidRDefault="00C834E1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03FE8" w14:textId="77777777" w:rsidR="00C834E1" w:rsidRDefault="00C834E1" w:rsidP="009E22D0">
      <w:pPr>
        <w:spacing w:after="0" w:line="240" w:lineRule="auto"/>
      </w:pPr>
      <w:r>
        <w:separator/>
      </w:r>
    </w:p>
  </w:footnote>
  <w:footnote w:type="continuationSeparator" w:id="0">
    <w:p w14:paraId="465D67B4" w14:textId="77777777" w:rsidR="00C834E1" w:rsidRDefault="00C834E1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6B483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6D46A83" wp14:editId="1E06E1C8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17802"/>
    <w:multiLevelType w:val="hybridMultilevel"/>
    <w:tmpl w:val="CD98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22C4B"/>
    <w:multiLevelType w:val="hybridMultilevel"/>
    <w:tmpl w:val="97DC7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11"/>
  </w:num>
  <w:num w:numId="9">
    <w:abstractNumId w:val="12"/>
  </w:num>
  <w:num w:numId="10">
    <w:abstractNumId w:val="9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56A34"/>
    <w:rsid w:val="00071A0D"/>
    <w:rsid w:val="00082F60"/>
    <w:rsid w:val="000E4361"/>
    <w:rsid w:val="001D0B28"/>
    <w:rsid w:val="00285446"/>
    <w:rsid w:val="002B557F"/>
    <w:rsid w:val="002E7BC2"/>
    <w:rsid w:val="003206BE"/>
    <w:rsid w:val="003443AE"/>
    <w:rsid w:val="00391852"/>
    <w:rsid w:val="003B4A9F"/>
    <w:rsid w:val="00493D6A"/>
    <w:rsid w:val="004A0046"/>
    <w:rsid w:val="004C6442"/>
    <w:rsid w:val="004D18E8"/>
    <w:rsid w:val="005321AC"/>
    <w:rsid w:val="005542D1"/>
    <w:rsid w:val="0056188D"/>
    <w:rsid w:val="005E18CA"/>
    <w:rsid w:val="006219B1"/>
    <w:rsid w:val="00624C29"/>
    <w:rsid w:val="00642B65"/>
    <w:rsid w:val="00644884"/>
    <w:rsid w:val="00666EB3"/>
    <w:rsid w:val="00667A8A"/>
    <w:rsid w:val="00690ADE"/>
    <w:rsid w:val="00711E46"/>
    <w:rsid w:val="00717094"/>
    <w:rsid w:val="007455F6"/>
    <w:rsid w:val="00753DFB"/>
    <w:rsid w:val="007E7CA1"/>
    <w:rsid w:val="008019F0"/>
    <w:rsid w:val="00813AEB"/>
    <w:rsid w:val="00883B23"/>
    <w:rsid w:val="008930ED"/>
    <w:rsid w:val="008C688E"/>
    <w:rsid w:val="008D3331"/>
    <w:rsid w:val="008E06F8"/>
    <w:rsid w:val="008F6BFE"/>
    <w:rsid w:val="009716DA"/>
    <w:rsid w:val="0098352B"/>
    <w:rsid w:val="009E22D0"/>
    <w:rsid w:val="00A00FEA"/>
    <w:rsid w:val="00A0791D"/>
    <w:rsid w:val="00A154B7"/>
    <w:rsid w:val="00A4414A"/>
    <w:rsid w:val="00A6105A"/>
    <w:rsid w:val="00A75A3B"/>
    <w:rsid w:val="00A87ED0"/>
    <w:rsid w:val="00AA783F"/>
    <w:rsid w:val="00AD73DD"/>
    <w:rsid w:val="00B75089"/>
    <w:rsid w:val="00BA157B"/>
    <w:rsid w:val="00C23E2C"/>
    <w:rsid w:val="00C35662"/>
    <w:rsid w:val="00C45B91"/>
    <w:rsid w:val="00C834E1"/>
    <w:rsid w:val="00C91CFA"/>
    <w:rsid w:val="00C93E2C"/>
    <w:rsid w:val="00CB0797"/>
    <w:rsid w:val="00D20ADC"/>
    <w:rsid w:val="00D53417"/>
    <w:rsid w:val="00DE605D"/>
    <w:rsid w:val="00E32639"/>
    <w:rsid w:val="00E40AC5"/>
    <w:rsid w:val="00EC0DE7"/>
    <w:rsid w:val="00F14B5A"/>
    <w:rsid w:val="00F5319A"/>
    <w:rsid w:val="00F74D3C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9FF1C96"/>
  <w15:docId w15:val="{295F5F37-33E7-4050-AD81-8CDAA2D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34EC5593-3E9C-43CB-B1B5-9524B92AB95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3462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Kate Lyon</cp:lastModifiedBy>
  <cp:revision>2</cp:revision>
  <dcterms:created xsi:type="dcterms:W3CDTF">2021-01-22T15:57:00Z</dcterms:created>
  <dcterms:modified xsi:type="dcterms:W3CDTF">2021-01-22T15:57:00Z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a4bf359c-487a-4d62-abab-bdca785034f6</vt:lpwstr>
  </property>
  <property fmtid="{D5CDD505-2E9C-101B-9397-08002B2CF9AE}" pid="3" name="bjSaver">
    <vt:lpwstr>naws1sZjujf5Vy2jYsPkwo4iPb7odCu4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