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E567E5" w14:paraId="412EDA2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B086FB6" w14:textId="77777777" w:rsidR="00F5319A" w:rsidRPr="00E567E5" w:rsidRDefault="00F5319A" w:rsidP="00B75089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DB24C72" w14:textId="1FF6A25B" w:rsidR="00F5319A" w:rsidRPr="00E567E5" w:rsidRDefault="009D08BA" w:rsidP="009D08BA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9D08BA"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="00763D6F">
              <w:rPr>
                <w:rFonts w:ascii="Arial" w:hAnsi="Arial" w:cs="Arial"/>
                <w:sz w:val="20"/>
                <w:szCs w:val="20"/>
              </w:rPr>
              <w:t>Specialist</w:t>
            </w:r>
            <w:r w:rsidR="00150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2B7527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A3A1470" w14:textId="1B745EAE" w:rsidR="00F5319A" w:rsidRPr="00E567E5" w:rsidRDefault="009A62EB" w:rsidP="008A357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9D08BA"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="00763D6F">
              <w:rPr>
                <w:rFonts w:ascii="Arial" w:hAnsi="Arial" w:cs="Arial"/>
                <w:sz w:val="20"/>
                <w:szCs w:val="20"/>
              </w:rPr>
              <w:t>Partner</w:t>
            </w:r>
          </w:p>
        </w:tc>
      </w:tr>
      <w:tr w:rsidR="008F48E1" w:rsidRPr="00E567E5" w14:paraId="73EB649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D74500E" w14:textId="77777777" w:rsidR="008F48E1" w:rsidRPr="00E567E5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22FF7E9" w14:textId="509FB829" w:rsidR="008F48E1" w:rsidRPr="00E567E5" w:rsidRDefault="00763D6F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4682C7" w14:textId="77777777" w:rsidR="008F48E1" w:rsidRPr="00E567E5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2D140408" w14:textId="5B481F57" w:rsidR="008F48E1" w:rsidRPr="00E567E5" w:rsidRDefault="0002235A" w:rsidP="008F48E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02235A">
              <w:rPr>
                <w:rFonts w:ascii="Arial" w:hAnsi="Arial" w:cs="Arial"/>
                <w:sz w:val="20"/>
                <w:szCs w:val="20"/>
              </w:rPr>
              <w:t>Business Services &amp; Governance - Procurement</w:t>
            </w:r>
          </w:p>
        </w:tc>
      </w:tr>
      <w:tr w:rsidR="008F48E1" w:rsidRPr="00E567E5" w14:paraId="1AE6E0E0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87E21B0" w14:textId="77777777" w:rsidR="008F48E1" w:rsidRPr="00E567E5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09DF1F1A" w14:textId="79C6F9CE" w:rsidR="008F48E1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4C0">
              <w:rPr>
                <w:rFonts w:ascii="Arial" w:hAnsi="Arial" w:cs="Arial"/>
                <w:sz w:val="20"/>
                <w:szCs w:val="20"/>
              </w:rPr>
              <w:t xml:space="preserve">No Direct Reports </w:t>
            </w:r>
          </w:p>
          <w:p w14:paraId="64563CC5" w14:textId="77777777" w:rsidR="00CD07D4" w:rsidRDefault="00CD07D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B8EAD5" w14:textId="77777777" w:rsidR="008F48E1" w:rsidRPr="003974C0" w:rsidRDefault="008F48E1" w:rsidP="008F48E1">
            <w:pPr>
              <w:pStyle w:val="Header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15C4AD" w14:textId="77777777" w:rsidR="008F48E1" w:rsidRPr="003974C0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226C569" w14:textId="77777777" w:rsidR="008F48E1" w:rsidRPr="00E567E5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14338CD" w14:textId="47A0AFDC" w:rsidR="008F48E1" w:rsidRPr="00E567E5" w:rsidRDefault="002F3F6B" w:rsidP="002F3F6B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E567E5" w14:paraId="5778F9A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64DA108" w14:textId="77777777" w:rsidR="00F5319A" w:rsidRPr="00E567E5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B277777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1ED59E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DF5C985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People</w:t>
            </w:r>
            <w:r w:rsidR="001B3D0A" w:rsidRPr="00E567E5">
              <w:rPr>
                <w:rFonts w:ascii="Arial" w:hAnsi="Arial" w:cs="Arial"/>
                <w:sz w:val="20"/>
                <w:szCs w:val="20"/>
              </w:rPr>
              <w:t xml:space="preserve"> – N/A</w:t>
            </w:r>
          </w:p>
          <w:p w14:paraId="4940B2DB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Budget</w:t>
            </w:r>
            <w:r w:rsidR="001B3D0A" w:rsidRPr="00E567E5">
              <w:rPr>
                <w:rFonts w:ascii="Arial" w:hAnsi="Arial" w:cs="Arial"/>
                <w:sz w:val="20"/>
                <w:szCs w:val="20"/>
              </w:rPr>
              <w:t xml:space="preserve"> – Aligned to Category </w:t>
            </w:r>
          </w:p>
          <w:p w14:paraId="521A5698" w14:textId="77777777" w:rsidR="00F5319A" w:rsidRPr="00E567E5" w:rsidRDefault="001B3D0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</w:t>
            </w:r>
            <w:r w:rsidR="00F5319A" w:rsidRPr="00E567E5">
              <w:rPr>
                <w:rFonts w:ascii="Arial" w:hAnsi="Arial" w:cs="Arial"/>
                <w:sz w:val="20"/>
                <w:szCs w:val="20"/>
              </w:rPr>
              <w:t>ncome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– N/A</w:t>
            </w:r>
          </w:p>
        </w:tc>
      </w:tr>
      <w:tr w:rsidR="00F5319A" w:rsidRPr="00E567E5" w14:paraId="6D1241AD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70E8636" w14:textId="77777777" w:rsidR="00F5319A" w:rsidRPr="00E567E5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33F99D6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9FD86E1" w14:textId="77777777" w:rsidR="00F5319A" w:rsidRPr="00E567E5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E567E5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E2C1AF0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E567E5" w14:paraId="6D54DC0F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06E778A" w14:textId="77777777" w:rsidR="007E7CA1" w:rsidRPr="00E567E5" w:rsidRDefault="007E7CA1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8ECE656" w14:textId="08F0C6EA" w:rsidR="007E7CA1" w:rsidRPr="00CD07D4" w:rsidRDefault="00E154EF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D4">
              <w:rPr>
                <w:rFonts w:ascii="Arial" w:hAnsi="Arial" w:cs="Arial"/>
                <w:sz w:val="20"/>
                <w:szCs w:val="20"/>
              </w:rPr>
              <w:t>Implement</w:t>
            </w:r>
            <w:r w:rsidR="006234D7" w:rsidRPr="00CD07D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4D5F2A" w14:textId="77777777" w:rsidR="007E7CA1" w:rsidRPr="00E567E5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A4893A5" w14:textId="3B610030" w:rsidR="007E7CA1" w:rsidRPr="00E567E5" w:rsidRDefault="00367777" w:rsidP="00B75089">
            <w:pPr>
              <w:pStyle w:val="Header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7777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6B8B1159" w14:textId="77777777" w:rsidR="00F5319A" w:rsidRPr="00E567E5" w:rsidRDefault="00F5319A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E567E5" w14:paraId="7305768F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12584BC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EE73" w14:textId="50ECF412" w:rsidR="009E22D0" w:rsidRPr="00E567E5" w:rsidRDefault="000660EC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="009E22D0" w:rsidRPr="00E567E5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E567E5" w14:paraId="46D53C94" w14:textId="77777777" w:rsidTr="009E22D0">
        <w:trPr>
          <w:trHeight w:val="693"/>
        </w:trPr>
        <w:tc>
          <w:tcPr>
            <w:tcW w:w="10509" w:type="dxa"/>
          </w:tcPr>
          <w:p w14:paraId="2E1C7A63" w14:textId="12704E6A" w:rsidR="0038578C" w:rsidRDefault="009D08BA" w:rsidP="009D08B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D08BA">
              <w:rPr>
                <w:rFonts w:ascii="Arial" w:hAnsi="Arial" w:cs="Arial"/>
                <w:iCs/>
                <w:sz w:val="20"/>
                <w:szCs w:val="20"/>
              </w:rPr>
              <w:t>Reporting to the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D08BA">
              <w:rPr>
                <w:rFonts w:ascii="Arial" w:hAnsi="Arial" w:cs="Arial"/>
                <w:iCs/>
                <w:sz w:val="20"/>
                <w:szCs w:val="20"/>
              </w:rPr>
              <w:t xml:space="preserve">Procurement </w:t>
            </w:r>
            <w:r w:rsidR="00811DB3">
              <w:rPr>
                <w:rFonts w:ascii="Arial" w:hAnsi="Arial" w:cs="Arial"/>
                <w:iCs/>
                <w:sz w:val="20"/>
                <w:szCs w:val="20"/>
              </w:rPr>
              <w:t xml:space="preserve">Partner, the Procurement Specialist </w:t>
            </w:r>
            <w:r w:rsidRPr="009D08BA">
              <w:rPr>
                <w:rFonts w:ascii="Arial" w:hAnsi="Arial" w:cs="Arial"/>
                <w:iCs/>
                <w:sz w:val="20"/>
                <w:szCs w:val="20"/>
              </w:rPr>
              <w:t>will</w:t>
            </w:r>
            <w:r w:rsidR="009C56C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DF02C8C" w14:textId="3066FE34" w:rsidR="0038578C" w:rsidRPr="00D0279B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 xml:space="preserve">anage </w:t>
            </w:r>
            <w:r w:rsidR="001B09EF">
              <w:rPr>
                <w:rFonts w:ascii="Arial" w:hAnsi="Arial" w:cs="Arial"/>
                <w:iCs/>
                <w:sz w:val="20"/>
                <w:szCs w:val="20"/>
              </w:rPr>
              <w:t xml:space="preserve">tactical / business-as-usual </w:t>
            </w:r>
            <w:r w:rsidR="003B371F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5F73A8" w:rsidRPr="00D0279B">
              <w:rPr>
                <w:rFonts w:ascii="Arial" w:hAnsi="Arial" w:cs="Arial"/>
                <w:iCs/>
                <w:sz w:val="20"/>
                <w:szCs w:val="20"/>
              </w:rPr>
              <w:t xml:space="preserve">rocurement opportunities 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>to ensure best value through the implementation of category</w:t>
            </w:r>
            <w:r w:rsidR="005F73A8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and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D0279B">
              <w:rPr>
                <w:rFonts w:ascii="Arial" w:hAnsi="Arial" w:cs="Arial"/>
                <w:iCs/>
                <w:sz w:val="20"/>
                <w:szCs w:val="20"/>
              </w:rPr>
              <w:t xml:space="preserve">strategic 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>sourcing strategies</w:t>
            </w:r>
            <w:r w:rsidR="003B371F">
              <w:rPr>
                <w:rFonts w:ascii="Arial" w:hAnsi="Arial" w:cs="Arial"/>
                <w:iCs/>
                <w:sz w:val="20"/>
                <w:szCs w:val="20"/>
              </w:rPr>
              <w:t xml:space="preserve"> set by Procurement Partner</w:t>
            </w:r>
            <w:r w:rsidR="0038578C" w:rsidRPr="00D027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3C62C5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D38B943" w14:textId="4FB190F0" w:rsidR="0038578C" w:rsidRPr="00AC2D53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ontribut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e and shape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initiatives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that support</w:t>
            </w: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the Procurement Centre of Excellence </w:t>
            </w:r>
          </w:p>
          <w:p w14:paraId="71C774FA" w14:textId="139D8A0C" w:rsidR="009D08BA" w:rsidRPr="00AC2D53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Support and em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power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colleagues to deliver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procurement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activities in line with the Procurement Prioritisation </w:t>
            </w:r>
            <w:r w:rsidR="009A0D85">
              <w:rPr>
                <w:rFonts w:ascii="Arial" w:hAnsi="Arial" w:cs="Arial"/>
                <w:iCs/>
                <w:sz w:val="20"/>
                <w:szCs w:val="20"/>
              </w:rPr>
              <w:t xml:space="preserve">Assessment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Process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9A0D85">
              <w:rPr>
                <w:rFonts w:ascii="Arial" w:hAnsi="Arial" w:cs="Arial"/>
                <w:iCs/>
                <w:sz w:val="20"/>
                <w:szCs w:val="20"/>
              </w:rPr>
              <w:t xml:space="preserve">(PPA)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and </w:t>
            </w:r>
            <w:r w:rsidR="009A0D85">
              <w:rPr>
                <w:rFonts w:ascii="Arial" w:hAnsi="Arial" w:cs="Arial"/>
                <w:iCs/>
                <w:sz w:val="20"/>
                <w:szCs w:val="20"/>
              </w:rPr>
              <w:t xml:space="preserve">Group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Procurement Policy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9D08BA" w:rsidRPr="00AC2D53">
              <w:rPr>
                <w:rFonts w:ascii="Arial" w:hAnsi="Arial" w:cs="Arial"/>
                <w:iCs/>
                <w:sz w:val="20"/>
                <w:szCs w:val="20"/>
              </w:rPr>
              <w:t>to achieve business objectives.</w:t>
            </w:r>
          </w:p>
          <w:p w14:paraId="72DA96B9" w14:textId="77777777" w:rsidR="00874582" w:rsidRPr="00E567E5" w:rsidRDefault="00874582" w:rsidP="0020525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81DFE4" w14:textId="77777777" w:rsidR="009E22D0" w:rsidRPr="00E567E5" w:rsidRDefault="009E22D0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E567E5" w14:paraId="46CEC61E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771DC5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DF6CB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E567E5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E567E5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0B196B4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F1969" w14:textId="77777777" w:rsidR="009E22D0" w:rsidRPr="00E567E5" w:rsidRDefault="009E22D0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AAE9674" w14:textId="77777777" w:rsidR="00850672" w:rsidRPr="00E567E5" w:rsidRDefault="00850672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E567E5" w14:paraId="07FD2815" w14:textId="77777777" w:rsidTr="009E22D0">
        <w:trPr>
          <w:trHeight w:val="578"/>
        </w:trPr>
        <w:tc>
          <w:tcPr>
            <w:tcW w:w="6346" w:type="dxa"/>
          </w:tcPr>
          <w:p w14:paraId="05934EE9" w14:textId="77777777" w:rsidR="0056188D" w:rsidRPr="00E567E5" w:rsidRDefault="0056188D" w:rsidP="00E154E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567E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850672" w:rsidRPr="00E567E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4E64C8E2" w14:textId="7E6005D6" w:rsidR="00F85670" w:rsidRDefault="009A0D85" w:rsidP="00E8254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the Procurement Partner in developing relevant category strategies and plans, providing market and supplier insights. </w:t>
            </w:r>
            <w:r w:rsidR="008E0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6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6E43B" w14:textId="69DEE74E" w:rsidR="002B5F7E" w:rsidRDefault="002B5F7E" w:rsidP="00E8254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B5F7E">
              <w:rPr>
                <w:rFonts w:ascii="Arial" w:hAnsi="Arial" w:cs="Arial"/>
                <w:sz w:val="20"/>
                <w:szCs w:val="20"/>
              </w:rPr>
              <w:t xml:space="preserve">esponsible for 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Pr="002B5F7E">
              <w:rPr>
                <w:rFonts w:ascii="Arial" w:hAnsi="Arial" w:cs="Arial"/>
                <w:sz w:val="20"/>
                <w:szCs w:val="20"/>
              </w:rPr>
              <w:t>end-to-end procurement process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for strategic </w:t>
            </w:r>
            <w:r w:rsidR="009A0D85">
              <w:rPr>
                <w:rFonts w:ascii="Arial" w:hAnsi="Arial" w:cs="Arial"/>
                <w:sz w:val="20"/>
                <w:szCs w:val="20"/>
              </w:rPr>
              <w:t xml:space="preserve">and tactical </w:t>
            </w:r>
            <w:r w:rsidR="006B145E">
              <w:rPr>
                <w:rFonts w:ascii="Arial" w:hAnsi="Arial" w:cs="Arial"/>
                <w:sz w:val="20"/>
                <w:szCs w:val="20"/>
              </w:rPr>
              <w:t>tenders (P1</w:t>
            </w:r>
            <w:r w:rsidR="009A0D85">
              <w:rPr>
                <w:rFonts w:ascii="Arial" w:hAnsi="Arial" w:cs="Arial"/>
                <w:sz w:val="20"/>
                <w:szCs w:val="20"/>
              </w:rPr>
              <w:t xml:space="preserve"> &amp; 2</w:t>
            </w:r>
            <w:r w:rsidR="006B145E">
              <w:rPr>
                <w:rFonts w:ascii="Arial" w:hAnsi="Arial" w:cs="Arial"/>
                <w:sz w:val="20"/>
                <w:szCs w:val="20"/>
              </w:rPr>
              <w:t>)</w:t>
            </w:r>
            <w:r w:rsidR="009A0D85">
              <w:rPr>
                <w:rFonts w:ascii="Arial" w:hAnsi="Arial" w:cs="Arial"/>
                <w:sz w:val="20"/>
                <w:szCs w:val="20"/>
              </w:rPr>
              <w:t xml:space="preserve"> as agreed</w:t>
            </w:r>
            <w:r w:rsidRPr="002B5F7E">
              <w:rPr>
                <w:rFonts w:ascii="Arial" w:hAnsi="Arial" w:cs="Arial"/>
                <w:sz w:val="20"/>
                <w:szCs w:val="20"/>
              </w:rPr>
              <w:t>, securing buy-in from stakeholder</w:t>
            </w:r>
            <w:r w:rsidR="00CD07D4">
              <w:rPr>
                <w:rFonts w:ascii="Arial" w:hAnsi="Arial" w:cs="Arial"/>
                <w:sz w:val="20"/>
                <w:szCs w:val="20"/>
              </w:rPr>
              <w:t>s</w:t>
            </w:r>
            <w:r w:rsidRPr="002B5F7E">
              <w:rPr>
                <w:rFonts w:ascii="Arial" w:hAnsi="Arial" w:cs="Arial"/>
                <w:sz w:val="20"/>
                <w:szCs w:val="20"/>
              </w:rPr>
              <w:t xml:space="preserve"> to ensure the strategic goals and objectives in all stages of the procurement cycle are achieved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6C80FC" w14:textId="1BCC797A" w:rsidR="009A0D85" w:rsidRDefault="009A0D85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all enquiries through the Procurement Support inbox, assessing PPA requests and processing as appropriate.</w:t>
            </w:r>
          </w:p>
          <w:p w14:paraId="46FBB949" w14:textId="602D8072" w:rsidR="009D08BA" w:rsidRPr="00205257" w:rsidRDefault="009D08BA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257">
              <w:rPr>
                <w:rFonts w:ascii="Arial" w:hAnsi="Arial" w:cs="Arial"/>
                <w:sz w:val="20"/>
                <w:szCs w:val="20"/>
              </w:rPr>
              <w:t>Develop the capabilities</w:t>
            </w:r>
            <w:r w:rsidR="00726A9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5257">
              <w:rPr>
                <w:rFonts w:ascii="Arial" w:hAnsi="Arial" w:cs="Arial"/>
                <w:sz w:val="20"/>
                <w:szCs w:val="20"/>
              </w:rPr>
              <w:t xml:space="preserve">competencies </w:t>
            </w:r>
            <w:r w:rsidR="00726A90">
              <w:rPr>
                <w:rFonts w:ascii="Arial" w:hAnsi="Arial" w:cs="Arial"/>
                <w:sz w:val="20"/>
                <w:szCs w:val="20"/>
              </w:rPr>
              <w:t>and subject matter expertise to support all stakeholders.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F56F34" w14:textId="7A32DFB6" w:rsidR="00EE0C91" w:rsidRPr="00205257" w:rsidRDefault="006B145E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across </w:t>
            </w:r>
            <w:r w:rsidR="009A0D85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 xml:space="preserve">MPS Divisions to 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leverage the capabilities of </w:t>
            </w:r>
            <w:r w:rsidR="007B21D7">
              <w:rPr>
                <w:rFonts w:ascii="Arial" w:hAnsi="Arial" w:cs="Arial"/>
                <w:sz w:val="20"/>
                <w:szCs w:val="20"/>
              </w:rPr>
              <w:t>third-party</w:t>
            </w:r>
            <w:r w:rsidR="00726A90">
              <w:rPr>
                <w:rFonts w:ascii="Arial" w:hAnsi="Arial" w:cs="Arial"/>
                <w:sz w:val="20"/>
                <w:szCs w:val="20"/>
              </w:rPr>
              <w:t xml:space="preserve"> suppliers</w:t>
            </w:r>
            <w:r w:rsidR="000660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>ensuring effective</w:t>
            </w:r>
            <w:r w:rsidR="00E32FB2">
              <w:rPr>
                <w:rFonts w:ascii="Arial" w:hAnsi="Arial" w:cs="Arial"/>
                <w:sz w:val="20"/>
                <w:szCs w:val="20"/>
              </w:rPr>
              <w:t xml:space="preserve"> and robust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 xml:space="preserve"> supply chain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 due diligence</w:t>
            </w:r>
            <w:r w:rsidR="00E32FB2">
              <w:rPr>
                <w:rFonts w:ascii="Arial" w:hAnsi="Arial" w:cs="Arial"/>
                <w:sz w:val="20"/>
                <w:szCs w:val="20"/>
              </w:rPr>
              <w:t xml:space="preserve"> and governance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DAEB659" w14:textId="57DFBB51" w:rsidR="00850672" w:rsidRPr="00E567E5" w:rsidRDefault="00726A90" w:rsidP="00E154EF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</w:t>
            </w:r>
            <w:r w:rsidR="006B145E">
              <w:rPr>
                <w:rFonts w:ascii="Arial" w:hAnsi="Arial" w:cs="Arial"/>
                <w:sz w:val="20"/>
                <w:szCs w:val="20"/>
              </w:rPr>
              <w:t>deliver</w:t>
            </w:r>
            <w:r w:rsidR="00064659">
              <w:rPr>
                <w:rFonts w:ascii="Arial" w:hAnsi="Arial" w:cs="Arial"/>
                <w:sz w:val="20"/>
                <w:szCs w:val="20"/>
              </w:rPr>
              <w:t>y of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the Procurement </w:t>
            </w:r>
            <w:r w:rsidR="00CD07D4">
              <w:rPr>
                <w:rFonts w:ascii="Arial" w:hAnsi="Arial" w:cs="Arial"/>
                <w:sz w:val="20"/>
                <w:szCs w:val="20"/>
              </w:rPr>
              <w:t>S</w:t>
            </w:r>
            <w:r w:rsidR="006B145E">
              <w:rPr>
                <w:rFonts w:ascii="Arial" w:hAnsi="Arial" w:cs="Arial"/>
                <w:sz w:val="20"/>
                <w:szCs w:val="20"/>
              </w:rPr>
              <w:t>trategy and s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upport the delivery of the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Business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Services and </w:t>
            </w:r>
            <w:r w:rsidR="00064659">
              <w:rPr>
                <w:rFonts w:ascii="Arial" w:hAnsi="Arial" w:cs="Arial"/>
                <w:sz w:val="20"/>
                <w:szCs w:val="20"/>
              </w:rPr>
              <w:t>Governance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strateg</w:t>
            </w:r>
            <w:r w:rsidR="00064659">
              <w:rPr>
                <w:rFonts w:ascii="Arial" w:hAnsi="Arial" w:cs="Arial"/>
                <w:sz w:val="20"/>
                <w:szCs w:val="20"/>
              </w:rPr>
              <w:t>y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966B8C" w14:textId="679CE61E" w:rsidR="00850672" w:rsidRPr="00E567E5" w:rsidRDefault="00726A90" w:rsidP="00E154E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Continuously improve 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relevant processes and systems to improve working practice the MPS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 by identifying opportunities for efficiencies and recommend to Procurement management for consideration</w:t>
            </w:r>
            <w:r w:rsidR="00CD07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9112E1" w14:textId="77777777" w:rsidR="00726A90" w:rsidRDefault="00850672" w:rsidP="00AB6F90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Ensure complianc</w:t>
            </w:r>
            <w:r w:rsidR="00726A90">
              <w:rPr>
                <w:rFonts w:ascii="Arial" w:hAnsi="Arial" w:cs="Arial"/>
                <w:sz w:val="20"/>
                <w:szCs w:val="20"/>
              </w:rPr>
              <w:t>e with all relevant policies, processes, procedures, regulatory and statutory obligations.</w:t>
            </w:r>
          </w:p>
          <w:p w14:paraId="51180CAD" w14:textId="129A8390" w:rsidR="003974C0" w:rsidRPr="00726A90" w:rsidRDefault="00AB6F90" w:rsidP="00726A90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D4">
              <w:rPr>
                <w:rFonts w:ascii="Arial" w:hAnsi="Arial" w:cs="Arial"/>
                <w:sz w:val="20"/>
                <w:szCs w:val="20"/>
              </w:rPr>
              <w:t xml:space="preserve">Delivering </w:t>
            </w:r>
            <w:r w:rsidR="00CD07D4">
              <w:rPr>
                <w:rFonts w:ascii="Arial" w:hAnsi="Arial" w:cs="Arial"/>
                <w:sz w:val="20"/>
                <w:szCs w:val="20"/>
              </w:rPr>
              <w:t>V</w:t>
            </w:r>
            <w:r w:rsidR="006B56DB" w:rsidRPr="00CD07D4">
              <w:rPr>
                <w:rFonts w:ascii="Arial" w:hAnsi="Arial" w:cs="Arial"/>
                <w:sz w:val="20"/>
                <w:szCs w:val="20"/>
              </w:rPr>
              <w:t xml:space="preserve">alue for </w:t>
            </w:r>
            <w:r w:rsidR="00CD07D4">
              <w:rPr>
                <w:rFonts w:ascii="Arial" w:hAnsi="Arial" w:cs="Arial"/>
                <w:sz w:val="20"/>
                <w:szCs w:val="20"/>
              </w:rPr>
              <w:t>M</w:t>
            </w:r>
            <w:r w:rsidR="006B56DB" w:rsidRPr="00CD07D4">
              <w:rPr>
                <w:rFonts w:ascii="Arial" w:hAnsi="Arial" w:cs="Arial"/>
                <w:sz w:val="20"/>
                <w:szCs w:val="20"/>
              </w:rPr>
              <w:t>oney</w:t>
            </w:r>
            <w:r>
              <w:rPr>
                <w:rFonts w:ascii="Arial" w:hAnsi="Arial" w:cs="Arial"/>
                <w:sz w:val="20"/>
                <w:szCs w:val="20"/>
              </w:rPr>
              <w:t xml:space="preserve"> as part of Category </w:t>
            </w:r>
            <w:r w:rsidR="00726A90">
              <w:rPr>
                <w:rFonts w:ascii="Arial" w:hAnsi="Arial" w:cs="Arial"/>
                <w:sz w:val="20"/>
                <w:szCs w:val="20"/>
              </w:rPr>
              <w:t>delivery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Sourcing processes.</w:t>
            </w:r>
          </w:p>
          <w:p w14:paraId="70348E8F" w14:textId="43CFE02E" w:rsidR="00150A53" w:rsidRPr="009F1178" w:rsidRDefault="00150A53" w:rsidP="00E154EF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4DF1F2" w14:textId="77777777" w:rsidR="003331BE" w:rsidRPr="00E567E5" w:rsidRDefault="003331BE" w:rsidP="003331BE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A6A717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5464F4DF" w14:textId="4A3E4C37" w:rsidR="008F48E1" w:rsidRPr="00E567E5" w:rsidRDefault="007B21D7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Category financial</w:t>
            </w:r>
            <w:r w:rsidR="008F48E1" w:rsidRPr="00E567E5">
              <w:rPr>
                <w:rFonts w:ascii="Arial" w:eastAsia="Calibri" w:hAnsi="Arial" w:cs="Arial"/>
                <w:sz w:val="20"/>
                <w:szCs w:val="20"/>
              </w:rPr>
              <w:t xml:space="preserve"> performance Vs plan</w:t>
            </w:r>
          </w:p>
          <w:p w14:paraId="4012EED8" w14:textId="77777777" w:rsidR="008F48E1" w:rsidRPr="007B21D7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254A9729" w14:textId="18EC7DCA" w:rsidR="007B21D7" w:rsidRPr="00D2424B" w:rsidRDefault="007B21D7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performance quality assessment</w:t>
            </w:r>
          </w:p>
          <w:p w14:paraId="5FBB979D" w14:textId="17C90207" w:rsidR="00D2424B" w:rsidRPr="00E567E5" w:rsidRDefault="00D2424B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0D3D694B" w14:textId="77777777" w:rsidR="008F48E1" w:rsidRPr="00E567E5" w:rsidRDefault="008F48E1" w:rsidP="006B205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2F537030" w14:textId="77777777" w:rsidTr="009E22D0">
        <w:trPr>
          <w:trHeight w:val="578"/>
        </w:trPr>
        <w:tc>
          <w:tcPr>
            <w:tcW w:w="6346" w:type="dxa"/>
          </w:tcPr>
          <w:p w14:paraId="15F76C32" w14:textId="77777777" w:rsidR="009E22D0" w:rsidRPr="00E567E5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D3E9723" w14:textId="2FFFCEA1" w:rsidR="002B5F7E" w:rsidRDefault="00EE0C91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and develop the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t xml:space="preserve"> production of metrics from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 xml:space="preserve">third parties </w:t>
            </w:r>
            <w:r w:rsidR="002B5F7E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t xml:space="preserve">organisational data sources to inform business 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lastRenderedPageBreak/>
              <w:t>decisions and actions which results in a measurable improvement in business performance and trends.</w:t>
            </w:r>
          </w:p>
          <w:p w14:paraId="2538F55B" w14:textId="3F445477" w:rsidR="00AD0131" w:rsidRDefault="00AD0131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Contribute</w:t>
            </w:r>
            <w:r w:rsidR="00463F18"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cost savings target</w:t>
            </w:r>
            <w:r w:rsidR="006B56DB">
              <w:rPr>
                <w:rFonts w:ascii="Arial" w:eastAsia="Calibri" w:hAnsi="Arial" w:cs="Arial"/>
                <w:sz w:val="20"/>
                <w:szCs w:val="20"/>
              </w:rPr>
              <w:t>s, cost avoidance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, and initiatives </w:t>
            </w:r>
            <w:r w:rsidR="002C37DD">
              <w:rPr>
                <w:rFonts w:ascii="Arial" w:eastAsia="Calibri" w:hAnsi="Arial" w:cs="Arial"/>
                <w:sz w:val="20"/>
                <w:szCs w:val="20"/>
              </w:rPr>
              <w:t xml:space="preserve">aligned to the Procurement Cost 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2C37DD">
              <w:rPr>
                <w:rFonts w:ascii="Arial" w:eastAsia="Calibri" w:hAnsi="Arial" w:cs="Arial"/>
                <w:sz w:val="20"/>
                <w:szCs w:val="20"/>
              </w:rPr>
              <w:t xml:space="preserve">rivers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that increase efficiency whilst maintaining performance and risk management.</w:t>
            </w:r>
          </w:p>
          <w:p w14:paraId="21184938" w14:textId="105F40A4" w:rsidR="00EE0C91" w:rsidRPr="00205257" w:rsidRDefault="009C4A6A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Contract Owners with 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>Supplier Relationship Management (SRM) principles</w:t>
            </w:r>
            <w:r>
              <w:rPr>
                <w:rFonts w:ascii="Arial" w:eastAsia="Calibri" w:hAnsi="Arial" w:cs="Arial"/>
                <w:sz w:val="20"/>
                <w:szCs w:val="20"/>
              </w:rPr>
              <w:t>, and shape how these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 xml:space="preserve"> are administered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by </w:t>
            </w:r>
            <w:r w:rsidR="00463F18">
              <w:rPr>
                <w:rFonts w:ascii="Arial" w:eastAsia="Calibri" w:hAnsi="Arial" w:cs="Arial"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sz w:val="20"/>
                <w:szCs w:val="20"/>
              </w:rPr>
              <w:t>ivisions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 xml:space="preserve"> throughout the supplier lifecycle ensuring 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compliance of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parties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 against </w:t>
            </w:r>
            <w:r w:rsidR="00732D91">
              <w:rPr>
                <w:rFonts w:ascii="Arial" w:eastAsia="Calibri" w:hAnsi="Arial" w:cs="Arial"/>
                <w:sz w:val="20"/>
                <w:szCs w:val="20"/>
              </w:rPr>
              <w:t xml:space="preserve">contract terms and alignment to 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agreed budgets.  </w:t>
            </w:r>
          </w:p>
          <w:p w14:paraId="4EFE34D2" w14:textId="77777777" w:rsidR="003F0076" w:rsidRPr="00E567E5" w:rsidRDefault="003F0076" w:rsidP="00E154EF">
            <w:pPr>
              <w:pStyle w:val="ListParagraph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93D3036" w14:textId="780227ED" w:rsidR="003A11E6" w:rsidRDefault="003A11E6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67E249" w14:textId="77777777" w:rsidR="00AE7E31" w:rsidRPr="00E567E5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B1DD83" w14:textId="1DE73941" w:rsidR="00726A90" w:rsidRDefault="003F0076" w:rsidP="00726A9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Reports communicated on supplier compliance</w:t>
            </w:r>
          </w:p>
          <w:p w14:paraId="7E926708" w14:textId="3C5D2AE9" w:rsidR="00726A90" w:rsidRPr="00726A90" w:rsidRDefault="00726A90" w:rsidP="00726A9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Measurable savings and efficiencies against target</w:t>
            </w:r>
          </w:p>
          <w:p w14:paraId="3E85D544" w14:textId="77777777" w:rsidR="003F0076" w:rsidRPr="00E567E5" w:rsidRDefault="003F0076" w:rsidP="003F007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212DBB94" w14:textId="77777777" w:rsidTr="009E22D0">
        <w:trPr>
          <w:trHeight w:val="578"/>
        </w:trPr>
        <w:tc>
          <w:tcPr>
            <w:tcW w:w="6346" w:type="dxa"/>
          </w:tcPr>
          <w:p w14:paraId="2F03BD27" w14:textId="77777777" w:rsidR="009E22D0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0494C955" w14:textId="77777777" w:rsidR="00CD07D4" w:rsidRDefault="003F0076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2DF59E2" w14:textId="7A4BA3C4" w:rsidR="003F0076" w:rsidRPr="00E567E5" w:rsidRDefault="00CD07D4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3F0076" w:rsidRPr="00E567E5">
              <w:rPr>
                <w:rFonts w:ascii="Arial" w:eastAsia="Calibri" w:hAnsi="Arial" w:cs="Arial"/>
                <w:sz w:val="20"/>
                <w:szCs w:val="20"/>
              </w:rPr>
              <w:t xml:space="preserve">eliver on KPIs, financial targets and great member experience and outcome. </w:t>
            </w:r>
          </w:p>
          <w:p w14:paraId="2D88310F" w14:textId="3AA5E45D" w:rsidR="009E22D0" w:rsidRPr="00D0279B" w:rsidRDefault="003F0076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Support the development and delivery of all necessary systems, policies and procedures which enable value for money for </w:t>
            </w:r>
            <w:r w:rsidR="00CD07D4">
              <w:rPr>
                <w:rFonts w:ascii="Arial" w:hAnsi="Arial" w:cs="Arial"/>
                <w:sz w:val="20"/>
                <w:szCs w:val="20"/>
              </w:rPr>
              <w:t>M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embers.  </w:t>
            </w:r>
          </w:p>
          <w:p w14:paraId="5AD59EFD" w14:textId="5725657F" w:rsidR="00676383" w:rsidRDefault="00676383" w:rsidP="006763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00A70">
              <w:rPr>
                <w:rFonts w:ascii="Arial" w:hAnsi="Arial" w:cs="Arial"/>
                <w:sz w:val="20"/>
                <w:szCs w:val="20"/>
              </w:rPr>
              <w:t xml:space="preserve">Always deliver fair 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treatment and outcomes for </w:t>
            </w:r>
            <w:r w:rsidR="00D87506">
              <w:rPr>
                <w:rFonts w:ascii="Arial" w:hAnsi="Arial" w:cs="Arial"/>
                <w:sz w:val="20"/>
                <w:szCs w:val="20"/>
              </w:rPr>
              <w:t>M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com</w:t>
            </w:r>
            <w:r w:rsidR="000660EC">
              <w:rPr>
                <w:rFonts w:ascii="Arial" w:hAnsi="Arial" w:cs="Arial"/>
                <w:sz w:val="20"/>
                <w:szCs w:val="20"/>
              </w:rPr>
              <w:t>m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i</w:t>
            </w:r>
            <w:r w:rsidR="000660EC">
              <w:rPr>
                <w:rFonts w:ascii="Arial" w:hAnsi="Arial" w:cs="Arial"/>
                <w:sz w:val="20"/>
                <w:szCs w:val="20"/>
              </w:rPr>
              <w:t>t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tees,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 and delegated authorities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7005B" w14:textId="77777777" w:rsidR="00676383" w:rsidRPr="00E567E5" w:rsidRDefault="00676383" w:rsidP="00D0279B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CECCE3" w14:textId="77777777" w:rsidR="003F0076" w:rsidRPr="00E567E5" w:rsidRDefault="003F0076" w:rsidP="00E154E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4970266" w14:textId="22D3E7B8" w:rsidR="003A11E6" w:rsidRPr="00E567E5" w:rsidRDefault="003A11E6" w:rsidP="009B054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B28E506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2AE6E63B" w14:textId="5355F53D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Operational Metrics </w:t>
            </w:r>
            <w:r w:rsidR="00E82547">
              <w:rPr>
                <w:rFonts w:ascii="Arial" w:hAnsi="Arial" w:cs="Arial"/>
                <w:sz w:val="20"/>
                <w:szCs w:val="20"/>
              </w:rPr>
              <w:t>V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s SLAs </w:t>
            </w:r>
          </w:p>
          <w:p w14:paraId="771B311C" w14:textId="409561A8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Quality monitoring / </w:t>
            </w:r>
            <w:r w:rsidR="00E82547">
              <w:rPr>
                <w:rFonts w:ascii="Arial" w:hAnsi="Arial" w:cs="Arial"/>
                <w:sz w:val="20"/>
                <w:szCs w:val="20"/>
              </w:rPr>
              <w:t>o</w:t>
            </w:r>
            <w:r w:rsidRPr="00E567E5">
              <w:rPr>
                <w:rFonts w:ascii="Arial" w:hAnsi="Arial" w:cs="Arial"/>
                <w:sz w:val="20"/>
                <w:szCs w:val="20"/>
              </w:rPr>
              <w:t>utcomes testing scores / compliance testing and internal audit scores</w:t>
            </w:r>
          </w:p>
          <w:p w14:paraId="6937EA8B" w14:textId="77777777" w:rsidR="009E22D0" w:rsidRPr="00E567E5" w:rsidRDefault="009E22D0" w:rsidP="003F00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50F37519" w14:textId="77777777" w:rsidTr="009E22D0">
        <w:trPr>
          <w:trHeight w:val="591"/>
        </w:trPr>
        <w:tc>
          <w:tcPr>
            <w:tcW w:w="6346" w:type="dxa"/>
          </w:tcPr>
          <w:p w14:paraId="7281D183" w14:textId="77777777" w:rsidR="009E22D0" w:rsidRPr="00E567E5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4094F034" w14:textId="77777777" w:rsidR="00A86319" w:rsidRPr="00E567E5" w:rsidRDefault="00A86319" w:rsidP="005C4409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Maintain a strong culture of compliance across all procurement processes, challenging if required to ensure processes are followed across the business</w:t>
            </w:r>
          </w:p>
          <w:p w14:paraId="07A3F802" w14:textId="77777777" w:rsidR="000C2D83" w:rsidRDefault="000C2D83" w:rsidP="000C2D83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of procurement knowledge and expertise within Procurement Team and the wider business </w:t>
            </w:r>
          </w:p>
          <w:p w14:paraId="2CCFDA6D" w14:textId="77777777" w:rsidR="00874582" w:rsidRPr="00874582" w:rsidRDefault="00AD0131" w:rsidP="005C4409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4582">
              <w:rPr>
                <w:rFonts w:ascii="Arial" w:eastAsia="Calibri" w:hAnsi="Arial" w:cs="Arial"/>
                <w:sz w:val="20"/>
                <w:szCs w:val="20"/>
              </w:rPr>
              <w:t>Build and maintain positive relationships with a wide range of stakeholders taking a collaborative approach to ways of working and problem solving.</w:t>
            </w:r>
          </w:p>
          <w:p w14:paraId="3CFB51C7" w14:textId="39314219" w:rsidR="003F0076" w:rsidRDefault="003F0076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Take </w:t>
            </w:r>
            <w:r w:rsidR="00BC4DD9">
              <w:rPr>
                <w:rFonts w:ascii="Arial" w:eastAsia="Calibri" w:hAnsi="Arial" w:cs="Arial"/>
                <w:sz w:val="20"/>
                <w:szCs w:val="20"/>
              </w:rPr>
              <w:t xml:space="preserve">personal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accountability for own training, competence, performance and engagement of self and colleagues, ensuring clarity on own accountabilities and comply with all law, governance, policy standards and processes.</w:t>
            </w:r>
          </w:p>
          <w:p w14:paraId="400280D7" w14:textId="7B54D7AD" w:rsidR="000C2D83" w:rsidRDefault="000C2D83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Take an active role / support in promoting a more inclusive environment, which aligns with our commitment to celeb</w:t>
            </w:r>
            <w:r w:rsidR="00BE0DF0">
              <w:rPr>
                <w:rFonts w:ascii="Arial" w:eastAsia="Calibri" w:hAnsi="Arial" w:cs="Arial"/>
                <w:sz w:val="20"/>
                <w:szCs w:val="20"/>
              </w:rPr>
              <w:t>rate and promote diversity.</w:t>
            </w:r>
          </w:p>
          <w:p w14:paraId="30B4083D" w14:textId="77777777" w:rsidR="003974C0" w:rsidRDefault="003974C0" w:rsidP="00150A53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31705" w14:textId="462360DA" w:rsidR="00150A53" w:rsidRPr="00E567E5" w:rsidRDefault="00150A53" w:rsidP="00150A53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C46CA3E" w14:textId="77777777" w:rsidR="003A11E6" w:rsidRPr="00E567E5" w:rsidRDefault="003A11E6" w:rsidP="003A11E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C9ABE7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4DD48EAA" w14:textId="7F5FDE44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5B469B5B" w14:textId="386A6771" w:rsidR="00150A53" w:rsidRDefault="00150A53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44885387"/>
            <w:r>
              <w:rPr>
                <w:rFonts w:ascii="Arial" w:hAnsi="Arial" w:cs="Arial"/>
                <w:sz w:val="20"/>
                <w:szCs w:val="20"/>
              </w:rPr>
              <w:t>Performance</w:t>
            </w:r>
            <w:r w:rsidR="004A1C5E">
              <w:rPr>
                <w:rFonts w:ascii="Arial" w:hAnsi="Arial" w:cs="Arial"/>
                <w:sz w:val="20"/>
                <w:szCs w:val="20"/>
              </w:rPr>
              <w:t xml:space="preserve"> &amp; Values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</w:p>
          <w:p w14:paraId="12E7A7C5" w14:textId="238423A0" w:rsidR="004A1C5E" w:rsidRPr="00E567E5" w:rsidRDefault="004A1C5E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bookmarkEnd w:id="0"/>
          <w:p w14:paraId="66CFE790" w14:textId="77777777" w:rsidR="009E22D0" w:rsidRPr="00E567E5" w:rsidRDefault="009E22D0" w:rsidP="00150A5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3FD280F2" w14:textId="77777777" w:rsidTr="009E22D0">
        <w:trPr>
          <w:trHeight w:val="591"/>
        </w:trPr>
        <w:tc>
          <w:tcPr>
            <w:tcW w:w="6346" w:type="dxa"/>
          </w:tcPr>
          <w:p w14:paraId="26E02E9A" w14:textId="77777777" w:rsidR="009E22D0" w:rsidRPr="00E567E5" w:rsidRDefault="009E22D0" w:rsidP="00B75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0EB0714" w14:textId="38263C69" w:rsidR="005C4409" w:rsidRDefault="005C4409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5E05">
              <w:rPr>
                <w:rFonts w:ascii="Arial" w:hAnsi="Arial" w:cs="Arial"/>
                <w:sz w:val="20"/>
                <w:szCs w:val="20"/>
              </w:rPr>
              <w:t>Ensure appropriate business processes and controls are in place to support Change activity within risk appetite; comply with policies and regulatory requirements (as applicable).</w:t>
            </w:r>
          </w:p>
          <w:p w14:paraId="083EA2D2" w14:textId="26365406" w:rsidR="003F0076" w:rsidRPr="00E567E5" w:rsidRDefault="003F0076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Contribute to an environment where all colleagues recognise the importance of adherence to policies and procedures, risk identification and management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F8F923" w14:textId="4007BEB5" w:rsidR="003F0076" w:rsidRPr="00E567E5" w:rsidRDefault="003F0076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across MPS to enable resolution and mitigation of potential impact on MPS, members and colleagues. </w:t>
            </w:r>
          </w:p>
          <w:p w14:paraId="3CC95B5C" w14:textId="051880CF" w:rsidR="005C4409" w:rsidRPr="00D87506" w:rsidRDefault="005C4409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A4BEC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4D385156" w14:textId="76A2E81A" w:rsidR="009E22D0" w:rsidRDefault="003F0076" w:rsidP="00150A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guidance, external regulation and all relevant internal policy and </w:t>
            </w:r>
            <w:r w:rsidRPr="00E567E5">
              <w:rPr>
                <w:rFonts w:ascii="Arial" w:hAnsi="Arial" w:cs="Arial"/>
                <w:sz w:val="20"/>
                <w:szCs w:val="20"/>
              </w:rPr>
              <w:lastRenderedPageBreak/>
              <w:t xml:space="preserve">procedures, including those relating to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H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&amp;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afety,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D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ata </w:t>
            </w:r>
            <w:r w:rsidR="000660EC" w:rsidRPr="00E567E5">
              <w:rPr>
                <w:rFonts w:ascii="Arial" w:hAnsi="Arial" w:cs="Arial"/>
                <w:sz w:val="20"/>
                <w:szCs w:val="20"/>
              </w:rPr>
              <w:t>Protection,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and IT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>ecurity.</w:t>
            </w:r>
          </w:p>
          <w:p w14:paraId="25541D6D" w14:textId="77777777" w:rsidR="00150A53" w:rsidRPr="00D87506" w:rsidRDefault="00150A53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357F">
              <w:rPr>
                <w:rFonts w:ascii="Arial" w:eastAsia="Calibri" w:hAnsi="Arial" w:cs="Arial"/>
                <w:sz w:val="20"/>
                <w:szCs w:val="20"/>
              </w:rPr>
              <w:t xml:space="preserve">Take learnings from all Quality Monitoring, Outcome Testing and Audit results to enhance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8A357F">
              <w:rPr>
                <w:rFonts w:ascii="Arial" w:eastAsia="Calibri" w:hAnsi="Arial" w:cs="Arial"/>
                <w:sz w:val="20"/>
                <w:szCs w:val="20"/>
              </w:rPr>
              <w:t>performance and quality service and outcomes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for yourself and wider business</w:t>
            </w:r>
            <w:r w:rsidRPr="008A357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C3F595C" w14:textId="77777777" w:rsidR="00150A53" w:rsidRPr="00E567E5" w:rsidRDefault="00150A53" w:rsidP="00150A5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52C7C" w14:textId="77777777" w:rsidR="0097616B" w:rsidRPr="00E567E5" w:rsidRDefault="0097616B" w:rsidP="009761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9D83529" w14:textId="77777777" w:rsidR="00FC4081" w:rsidRPr="00E567E5" w:rsidRDefault="00FC4081" w:rsidP="00FC4081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AD83E8" w14:textId="77777777" w:rsidR="005C4409" w:rsidRPr="00001783" w:rsidRDefault="005C4409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783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267C54DD" w14:textId="77777777" w:rsidR="003F0076" w:rsidRPr="00E567E5" w:rsidRDefault="003F0076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AD07C81" w14:textId="042BFD20" w:rsidR="003F0076" w:rsidRPr="00E567E5" w:rsidRDefault="003F0076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Audit Actions </w:t>
            </w:r>
          </w:p>
          <w:p w14:paraId="7B4508A6" w14:textId="77777777" w:rsidR="003F0076" w:rsidRPr="00E567E5" w:rsidRDefault="003F0076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  <w:p w14:paraId="093EFC25" w14:textId="77777777" w:rsidR="009E22D0" w:rsidRPr="00150A53" w:rsidRDefault="003F0076" w:rsidP="00150A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Report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risk </w:t>
            </w:r>
          </w:p>
          <w:p w14:paraId="505BD75B" w14:textId="77777777" w:rsidR="00150A53" w:rsidRPr="00E567E5" w:rsidRDefault="00150A53" w:rsidP="00150A53">
            <w:pPr>
              <w:pStyle w:val="ListParagraph"/>
              <w:numPr>
                <w:ilvl w:val="0"/>
                <w:numId w:val="5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BA4796A" w14:textId="1F706E3F" w:rsidR="00150A53" w:rsidRPr="00E567E5" w:rsidRDefault="00150A53" w:rsidP="00150A5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9888D" w14:textId="77777777" w:rsidR="00FB4711" w:rsidRPr="00E567E5" w:rsidRDefault="00FB4711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E567E5" w14:paraId="76726EFC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7E84B62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0D75A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E567E5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E567E5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E567E5" w14:paraId="272E8A5E" w14:textId="77777777" w:rsidTr="00FF16B8">
        <w:trPr>
          <w:trHeight w:val="693"/>
        </w:trPr>
        <w:tc>
          <w:tcPr>
            <w:tcW w:w="10490" w:type="dxa"/>
          </w:tcPr>
          <w:p w14:paraId="1F18AAD7" w14:textId="77777777" w:rsidR="00AA450E" w:rsidRPr="00E567E5" w:rsidRDefault="00AA450E" w:rsidP="00AA450E">
            <w:pPr>
              <w:pStyle w:val="ListParagraph"/>
              <w:spacing w:before="0" w:beforeAutospacing="0" w:after="0" w:afterAutospacing="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221092E5" w14:textId="77777777" w:rsidR="00AE075B" w:rsidRPr="00AE075B" w:rsidRDefault="00AE075B" w:rsidP="00AE075B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5B">
              <w:rPr>
                <w:rFonts w:ascii="Arial" w:hAnsi="Arial" w:cs="Arial"/>
                <w:sz w:val="20"/>
                <w:szCs w:val="20"/>
              </w:rPr>
              <w:t>Offer meaningful decision points and insight to MPS forums to ensure that the business operates within risk appetite, and decision makers are fully informed and equipped.</w:t>
            </w:r>
          </w:p>
          <w:p w14:paraId="70E024C5" w14:textId="77777777" w:rsidR="00AE075B" w:rsidRPr="00AE075B" w:rsidRDefault="00AE075B" w:rsidP="00AE075B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5B">
              <w:rPr>
                <w:rFonts w:ascii="Arial" w:hAnsi="Arial" w:cs="Arial"/>
                <w:sz w:val="20"/>
                <w:szCs w:val="20"/>
              </w:rPr>
              <w:t>Keep abreast of evolving legislation and best practice; identify and recommend opportunities for MPS to become more efficient and effective.</w:t>
            </w:r>
          </w:p>
          <w:p w14:paraId="61EF81A4" w14:textId="77777777" w:rsidR="00AE075B" w:rsidRPr="00AE075B" w:rsidRDefault="00AE075B" w:rsidP="00AE075B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5B">
              <w:rPr>
                <w:rFonts w:ascii="Arial" w:hAnsi="Arial" w:cs="Arial"/>
                <w:sz w:val="20"/>
                <w:szCs w:val="20"/>
              </w:rPr>
              <w:t>Lead individual projects and change or delivery activities as required.</w:t>
            </w:r>
          </w:p>
          <w:p w14:paraId="3C4D55F5" w14:textId="77777777" w:rsidR="00AE075B" w:rsidRPr="00AE075B" w:rsidRDefault="00AE075B" w:rsidP="00AE075B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5B"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14:paraId="7DE768A0" w14:textId="77777777" w:rsidR="00AE075B" w:rsidRPr="00AE075B" w:rsidRDefault="00AE075B" w:rsidP="00AE075B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5B">
              <w:rPr>
                <w:rFonts w:ascii="Arial" w:hAnsi="Arial" w:cs="Arial"/>
                <w:sz w:val="20"/>
                <w:szCs w:val="20"/>
              </w:rPr>
              <w:t>Manage the impact of change initiatives, leading implementation projects, communicating and championing change to the department, and ensuring effective transitions to new ways of working</w:t>
            </w:r>
          </w:p>
          <w:p w14:paraId="471F5472" w14:textId="46925F55" w:rsidR="00BC4DD9" w:rsidRPr="00BC4DD9" w:rsidRDefault="00BC4DD9" w:rsidP="00AE075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DD9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74377F">
              <w:rPr>
                <w:rFonts w:ascii="Arial" w:hAnsi="Arial" w:cs="Arial"/>
                <w:sz w:val="20"/>
                <w:szCs w:val="20"/>
              </w:rPr>
              <w:t xml:space="preserve">the wider business </w:t>
            </w:r>
            <w:r w:rsidRPr="00BC4DD9">
              <w:rPr>
                <w:rFonts w:ascii="Arial" w:hAnsi="Arial" w:cs="Arial"/>
                <w:sz w:val="20"/>
                <w:szCs w:val="20"/>
              </w:rPr>
              <w:t>to ensure best procurement solutions are achieved and ensuring that procurement is conducted in compliance with all relevant UK and International legislation.</w:t>
            </w:r>
          </w:p>
          <w:p w14:paraId="3CDAF468" w14:textId="77777777" w:rsidR="009E22D0" w:rsidRPr="00E567E5" w:rsidRDefault="004D18E8" w:rsidP="009B0542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36DF14D2" w14:textId="77777777" w:rsidR="008179BF" w:rsidRPr="00E567E5" w:rsidRDefault="008179BF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D1" w:rsidRPr="00E567E5" w14:paraId="42C5C269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5E786B9" w14:textId="77777777" w:rsidR="005542D1" w:rsidRDefault="005542D1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  <w:p w14:paraId="04AED8F4" w14:textId="4C49CA6D" w:rsidR="00E82547" w:rsidRPr="00E567E5" w:rsidRDefault="00E82547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42D1" w:rsidRPr="00E567E5" w14:paraId="41F9A030" w14:textId="77777777" w:rsidTr="007F42E6">
        <w:trPr>
          <w:trHeight w:val="693"/>
        </w:trPr>
        <w:tc>
          <w:tcPr>
            <w:tcW w:w="10490" w:type="dxa"/>
          </w:tcPr>
          <w:p w14:paraId="37C011B5" w14:textId="06B7413B" w:rsidR="00AA450E" w:rsidRPr="00E567E5" w:rsidRDefault="00AA450E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Participation in internal discussions and influencing policy </w:t>
            </w:r>
            <w:r w:rsidR="0074377F">
              <w:rPr>
                <w:rFonts w:ascii="Arial" w:hAnsi="Arial" w:cs="Arial"/>
                <w:sz w:val="20"/>
                <w:szCs w:val="20"/>
              </w:rPr>
              <w:t>and pr</w:t>
            </w:r>
            <w:r w:rsidR="002C7907">
              <w:rPr>
                <w:rFonts w:ascii="Arial" w:hAnsi="Arial" w:cs="Arial"/>
                <w:sz w:val="20"/>
                <w:szCs w:val="20"/>
              </w:rPr>
              <w:t xml:space="preserve">ocedural 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changes that impact on the service delivery </w:t>
            </w:r>
          </w:p>
          <w:p w14:paraId="5E74253E" w14:textId="41992AEC" w:rsidR="008179BF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MPS </w:t>
            </w:r>
            <w:r w:rsidRPr="002C7907">
              <w:rPr>
                <w:rFonts w:ascii="Arial" w:hAnsi="Arial" w:cs="Arial"/>
                <w:sz w:val="20"/>
                <w:szCs w:val="20"/>
              </w:rPr>
              <w:t>Committees and sub-groups</w:t>
            </w:r>
            <w:r w:rsidR="000F0BA3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</w:p>
          <w:p w14:paraId="069F7D27" w14:textId="447D18A1" w:rsidR="002C7907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Adherence to Procurement Policy and controls set up to manage </w:t>
            </w:r>
          </w:p>
          <w:p w14:paraId="0E26A7FE" w14:textId="23E76E99" w:rsidR="002C7907" w:rsidRPr="00E567E5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of Procurement Key Risk Indicators </w:t>
            </w:r>
          </w:p>
          <w:p w14:paraId="28C5A938" w14:textId="77777777" w:rsidR="005542D1" w:rsidRPr="00E567E5" w:rsidRDefault="005542D1" w:rsidP="00AA450E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8CA4F" w14:textId="77777777" w:rsidR="00874582" w:rsidRDefault="00874582" w:rsidP="00B75089">
      <w:pPr>
        <w:rPr>
          <w:rFonts w:ascii="Arial" w:hAnsi="Arial" w:cs="Arial"/>
          <w:sz w:val="20"/>
          <w:szCs w:val="20"/>
        </w:rPr>
      </w:pPr>
    </w:p>
    <w:p w14:paraId="4E461742" w14:textId="77777777" w:rsidR="00874582" w:rsidRPr="00E567E5" w:rsidRDefault="00874582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E567E5" w14:paraId="23884174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71F721A8" w14:textId="77777777" w:rsidR="0056188D" w:rsidRPr="00E567E5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30C57" w14:textId="77777777" w:rsidR="0056188D" w:rsidRPr="00E567E5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0812279"/>
            <w:r w:rsidRPr="00E567E5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  <w:bookmarkEnd w:id="1"/>
          </w:p>
        </w:tc>
        <w:tc>
          <w:tcPr>
            <w:tcW w:w="4482" w:type="dxa"/>
            <w:shd w:val="clear" w:color="auto" w:fill="D9D9D9" w:themeFill="background1" w:themeFillShade="D9"/>
          </w:tcPr>
          <w:p w14:paraId="2B8D2512" w14:textId="77777777" w:rsidR="0056188D" w:rsidRPr="00E567E5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3F79B" w14:textId="77777777" w:rsidR="0056188D" w:rsidRPr="00E567E5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ECEEDDE" w14:textId="77777777" w:rsidR="00520900" w:rsidRPr="00E567E5" w:rsidRDefault="0052090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900" w:rsidRPr="00E567E5" w14:paraId="41DCA402" w14:textId="77777777" w:rsidTr="00FF16B8">
        <w:trPr>
          <w:trHeight w:val="211"/>
        </w:trPr>
        <w:tc>
          <w:tcPr>
            <w:tcW w:w="6008" w:type="dxa"/>
          </w:tcPr>
          <w:p w14:paraId="3D43D6E2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E976A79" w14:textId="61688F8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7454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213541E3" w14:textId="77777777" w:rsidTr="00FF16B8">
        <w:trPr>
          <w:trHeight w:val="211"/>
        </w:trPr>
        <w:tc>
          <w:tcPr>
            <w:tcW w:w="6008" w:type="dxa"/>
          </w:tcPr>
          <w:p w14:paraId="488CCAE6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C50C227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20900" w:rsidRPr="00E567E5" w14:paraId="274A22D9" w14:textId="77777777" w:rsidTr="00FF16B8">
        <w:trPr>
          <w:trHeight w:val="211"/>
        </w:trPr>
        <w:tc>
          <w:tcPr>
            <w:tcW w:w="6008" w:type="dxa"/>
          </w:tcPr>
          <w:p w14:paraId="132D74A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1E05C84" w14:textId="2570253A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767B218A" w14:textId="77777777" w:rsidTr="00FF16B8">
        <w:trPr>
          <w:trHeight w:val="211"/>
        </w:trPr>
        <w:tc>
          <w:tcPr>
            <w:tcW w:w="6008" w:type="dxa"/>
          </w:tcPr>
          <w:p w14:paraId="6227B21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27E77B8A" w14:textId="5A50F05E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35813C8C" w14:textId="77777777" w:rsidTr="00FF16B8">
        <w:trPr>
          <w:trHeight w:val="211"/>
        </w:trPr>
        <w:tc>
          <w:tcPr>
            <w:tcW w:w="6008" w:type="dxa"/>
          </w:tcPr>
          <w:p w14:paraId="6CC2A51D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2453EA7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20900" w:rsidRPr="00E567E5" w14:paraId="5B72D2E3" w14:textId="77777777" w:rsidTr="00FF16B8">
        <w:trPr>
          <w:trHeight w:val="211"/>
        </w:trPr>
        <w:tc>
          <w:tcPr>
            <w:tcW w:w="6008" w:type="dxa"/>
          </w:tcPr>
          <w:p w14:paraId="39FCA35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2C12772D" w14:textId="6E223F3B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  <w:r w:rsidR="002C7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128636" w14:textId="77777777" w:rsidR="003C0E67" w:rsidRDefault="003C0E67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54"/>
        <w:gridCol w:w="3063"/>
        <w:gridCol w:w="4279"/>
      </w:tblGrid>
      <w:tr w:rsidR="00FF16B8" w:rsidRPr="00E567E5" w14:paraId="72C7ACD0" w14:textId="77777777" w:rsidTr="003C0E67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F112AA0" w14:textId="7EC6DCD3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309D2600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17C79ABB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5F87AB68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520900" w:rsidRPr="00E567E5" w14:paraId="3A69E615" w14:textId="77777777" w:rsidTr="003C0E67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13DA750" w14:textId="77777777" w:rsidR="00520900" w:rsidRPr="00E567E5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54" w:type="dxa"/>
          </w:tcPr>
          <w:p w14:paraId="65489CB9" w14:textId="35E6656A" w:rsidR="008179BF" w:rsidRDefault="008179BF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Detailed knowledge of procurement </w:t>
            </w:r>
            <w:r w:rsidR="00724AD7">
              <w:rPr>
                <w:rFonts w:ascii="Arial" w:eastAsia="Calibri" w:hAnsi="Arial" w:cs="Arial"/>
                <w:sz w:val="20"/>
                <w:szCs w:val="20"/>
              </w:rPr>
              <w:t xml:space="preserve">practice,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legislation,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supplier,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and contract management.</w:t>
            </w:r>
          </w:p>
          <w:p w14:paraId="331E6CC5" w14:textId="77777777" w:rsidR="00417529" w:rsidRPr="00E567E5" w:rsidRDefault="00417529" w:rsidP="003D53A9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understanding of Contract Law and terms and conditions of Contract.</w:t>
            </w:r>
          </w:p>
          <w:p w14:paraId="0D7CA071" w14:textId="36DD9BC4" w:rsidR="000F0BA3" w:rsidRPr="00E567E5" w:rsidRDefault="000F0BA3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Wide experience of multiple categories</w:t>
            </w:r>
          </w:p>
          <w:p w14:paraId="2DB15E5E" w14:textId="1490DF0F" w:rsidR="008179BF" w:rsidRPr="00E567E5" w:rsidRDefault="00724AD7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nowledge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Procurement 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>Systems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functionality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87E0AFA" w14:textId="4C0B137F" w:rsidR="00520900" w:rsidRPr="00E567E5" w:rsidRDefault="00AD0131" w:rsidP="00E567E5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Proficient IT skills including MS Word, MS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Excel,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and MS PowerPoint, and comfortable with numerical reasoning.</w:t>
            </w:r>
          </w:p>
        </w:tc>
        <w:tc>
          <w:tcPr>
            <w:tcW w:w="3063" w:type="dxa"/>
          </w:tcPr>
          <w:p w14:paraId="6677CF97" w14:textId="681B3FD3" w:rsidR="00BC6991" w:rsidRPr="00E567E5" w:rsidRDefault="00520900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Demonstrable work experience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88643BD" w14:textId="77777777" w:rsidR="00BC6991" w:rsidRPr="00E567E5" w:rsidRDefault="00BC6991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Analytical skills and strong commercial acumen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1E16201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Ability to work to tight deadlines.</w:t>
            </w:r>
          </w:p>
          <w:p w14:paraId="6E79B0FA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Excellent attention to detail.</w:t>
            </w:r>
          </w:p>
          <w:p w14:paraId="4D876752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Ability to engage and challenge at all levels; strong influencing skills coupled with tenacity and resilience.</w:t>
            </w:r>
          </w:p>
          <w:p w14:paraId="5E93A268" w14:textId="3DFD467A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Excellent communication and influencing skills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liaise with stakeholders at varying levels.</w:t>
            </w:r>
          </w:p>
          <w:p w14:paraId="60CA6604" w14:textId="77777777" w:rsidR="00AD0131" w:rsidRPr="00E567E5" w:rsidRDefault="00AD0131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Be able to mentor and provide commercial guidance to relevant category colleagues and wider stakeholders.</w:t>
            </w:r>
          </w:p>
          <w:p w14:paraId="4FB8996B" w14:textId="77777777" w:rsidR="008179BF" w:rsidRPr="00E567E5" w:rsidRDefault="008179BF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Be a self-motivator, but also able to work well as part of a team and have a strong hands-on approach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7E28246" w14:textId="77777777" w:rsidR="00520900" w:rsidRPr="00E567E5" w:rsidRDefault="00520900" w:rsidP="008179BF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34B1E472" w14:textId="00AC9571" w:rsidR="00D315A4" w:rsidRPr="00E567E5" w:rsidRDefault="00D315A4" w:rsidP="00D315A4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</w:t>
            </w:r>
            <w:r w:rsidR="000F0B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multiple </w:t>
            </w: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Category </w:t>
            </w:r>
            <w:r w:rsidR="000F0B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delivery </w:t>
            </w: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and outstanding strategic sourcing and contract management expertise</w:t>
            </w:r>
          </w:p>
          <w:p w14:paraId="44983B6E" w14:textId="59A5A8DC" w:rsidR="00EE33E0" w:rsidRPr="00E567E5" w:rsidRDefault="00EE33E0" w:rsidP="00EE33E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Strong background in co-ordinating the delivery of category strategies</w:t>
            </w:r>
            <w:r w:rsidR="000F0BA3">
              <w:rPr>
                <w:rFonts w:ascii="Arial" w:eastAsia="Calibri" w:hAnsi="Arial" w:cs="Arial"/>
                <w:sz w:val="20"/>
                <w:szCs w:val="20"/>
              </w:rPr>
              <w:t xml:space="preserve"> and plans.</w:t>
            </w:r>
          </w:p>
          <w:p w14:paraId="1F2CCE9E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of developing and maintaining procurement activity.</w:t>
            </w:r>
          </w:p>
          <w:p w14:paraId="14FF4D35" w14:textId="6E421D16" w:rsidR="00AD0131" w:rsidRPr="00E567E5" w:rsidRDefault="00AD0131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Proven track record in </w:t>
            </w:r>
            <w:r w:rsidR="00D315A4">
              <w:rPr>
                <w:rFonts w:ascii="Arial" w:eastAsia="Calibri" w:hAnsi="Arial" w:cs="Arial"/>
                <w:sz w:val="20"/>
                <w:szCs w:val="20"/>
              </w:rPr>
              <w:t xml:space="preserve">expert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negotiation and supply relationship management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1419A83" w14:textId="2DF032AE" w:rsidR="008179BF" w:rsidRPr="00E567E5" w:rsidRDefault="00D315A4" w:rsidP="008179BF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Detailed </w:t>
            </w:r>
            <w:r w:rsidR="00520900" w:rsidRPr="00E567E5">
              <w:rPr>
                <w:rFonts w:ascii="Arial" w:eastAsia="Calibri" w:hAnsi="Arial" w:cs="Arial"/>
                <w:sz w:val="20"/>
                <w:szCs w:val="20"/>
              </w:rPr>
              <w:t>understanding of procurement processes and procedures.</w:t>
            </w:r>
          </w:p>
          <w:p w14:paraId="6CD1462A" w14:textId="192CF9BE" w:rsidR="008179BF" w:rsidRPr="00E567E5" w:rsidRDefault="00C306FF" w:rsidP="008179BF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 xml:space="preserve">xperience of vetting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parties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 xml:space="preserve"> and analysing contracts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7DAA67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in handling confidential information and communicating clear messages internally and externally.</w:t>
            </w:r>
          </w:p>
          <w:p w14:paraId="76FEEFAE" w14:textId="77777777" w:rsidR="00520900" w:rsidRPr="00E567E5" w:rsidRDefault="00520900" w:rsidP="00520900">
            <w:pPr>
              <w:ind w:left="50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DE43E" w14:textId="77777777" w:rsidR="00520900" w:rsidRPr="00E567E5" w:rsidRDefault="00520900" w:rsidP="00520900">
            <w:pPr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0" w:rsidRPr="00E567E5" w14:paraId="7708683D" w14:textId="77777777" w:rsidTr="003C0E67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BAC7904" w14:textId="77777777" w:rsidR="00520900" w:rsidRPr="00E567E5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54" w:type="dxa"/>
          </w:tcPr>
          <w:p w14:paraId="7B895DAB" w14:textId="77777777" w:rsidR="006234D7" w:rsidRPr="00E567E5" w:rsidRDefault="006234D7" w:rsidP="006234D7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CIPS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MCIPS qualification (or equivalent)</w:t>
            </w:r>
          </w:p>
          <w:p w14:paraId="30324BF1" w14:textId="77777777" w:rsidR="00520900" w:rsidRPr="00E567E5" w:rsidRDefault="00520900" w:rsidP="00BC4DD9">
            <w:pPr>
              <w:pStyle w:val="ListParagraph"/>
              <w:spacing w:after="0"/>
              <w:ind w:left="39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4983797" w14:textId="3248CA4D" w:rsidR="00520900" w:rsidRPr="00E567E5" w:rsidRDefault="00520900" w:rsidP="00E82547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2E9969EF" w14:textId="14C9FF4B" w:rsidR="00520900" w:rsidRPr="00E567E5" w:rsidRDefault="00520900" w:rsidP="00520900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Previous experience of </w:t>
            </w:r>
            <w:r w:rsidR="007D427C">
              <w:rPr>
                <w:rFonts w:ascii="Arial" w:hAnsi="Arial" w:cs="Arial"/>
                <w:color w:val="000000"/>
                <w:sz w:val="20"/>
                <w:szCs w:val="20"/>
              </w:rPr>
              <w:t>transformation and change.</w:t>
            </w:r>
          </w:p>
          <w:p w14:paraId="4E81B3A4" w14:textId="77777777" w:rsidR="00AD0131" w:rsidRPr="00E567E5" w:rsidRDefault="00AD0131" w:rsidP="00520900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Experience of operating in a complex, commercial, multi-divisional organisation</w:t>
            </w:r>
            <w:r w:rsidR="00C87A8C" w:rsidRPr="00E567E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BBD562A" w14:textId="77777777" w:rsidR="00520900" w:rsidRPr="00D0279B" w:rsidRDefault="004F06E6" w:rsidP="00F52149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Comfortable working with complex contract and procurement documents.</w:t>
            </w:r>
          </w:p>
          <w:p w14:paraId="60D56ECC" w14:textId="74CA3BCF" w:rsidR="00C306FF" w:rsidRPr="00E567E5" w:rsidRDefault="00C306FF" w:rsidP="00F52149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Supplier Relationship</w:t>
            </w:r>
            <w:r w:rsidRPr="00D0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 experience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893EE17" w14:textId="77777777" w:rsidR="0056188D" w:rsidRPr="00E567E5" w:rsidRDefault="0056188D" w:rsidP="00B75089">
      <w:pPr>
        <w:rPr>
          <w:rFonts w:ascii="Arial" w:hAnsi="Arial" w:cs="Arial"/>
          <w:sz w:val="20"/>
          <w:szCs w:val="20"/>
        </w:rPr>
      </w:pPr>
    </w:p>
    <w:sectPr w:rsidR="0056188D" w:rsidRPr="00E567E5" w:rsidSect="002B5F7E">
      <w:headerReference w:type="default" r:id="rId9"/>
      <w:footerReference w:type="default" r:id="rId10"/>
      <w:pgSz w:w="11909" w:h="16834" w:code="9"/>
      <w:pgMar w:top="1440" w:right="1800" w:bottom="1276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D4C8" w14:textId="77777777" w:rsidR="002F27AC" w:rsidRDefault="002F27AC" w:rsidP="009E22D0">
      <w:r>
        <w:separator/>
      </w:r>
    </w:p>
  </w:endnote>
  <w:endnote w:type="continuationSeparator" w:id="0">
    <w:p w14:paraId="465FDD3D" w14:textId="77777777" w:rsidR="002F27AC" w:rsidRDefault="002F27AC" w:rsidP="009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EF56" w14:textId="77777777" w:rsidR="002F27AC" w:rsidRDefault="002F2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BC33" w14:textId="77777777" w:rsidR="002F27AC" w:rsidRDefault="002F27AC" w:rsidP="009E22D0">
      <w:r>
        <w:separator/>
      </w:r>
    </w:p>
  </w:footnote>
  <w:footnote w:type="continuationSeparator" w:id="0">
    <w:p w14:paraId="0F4D4DD9" w14:textId="77777777" w:rsidR="002F27AC" w:rsidRDefault="002F27AC" w:rsidP="009E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98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5E7C760D" wp14:editId="67C9C3BC">
          <wp:extent cx="1435505" cy="362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0678FA"/>
    <w:multiLevelType w:val="hybridMultilevel"/>
    <w:tmpl w:val="C36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B0D"/>
    <w:multiLevelType w:val="hybridMultilevel"/>
    <w:tmpl w:val="B5D4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8A6C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26A88"/>
    <w:multiLevelType w:val="multilevel"/>
    <w:tmpl w:val="5E8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2604">
    <w:abstractNumId w:val="10"/>
  </w:num>
  <w:num w:numId="2" w16cid:durableId="337461757">
    <w:abstractNumId w:val="0"/>
  </w:num>
  <w:num w:numId="3" w16cid:durableId="287393188">
    <w:abstractNumId w:val="8"/>
  </w:num>
  <w:num w:numId="4" w16cid:durableId="620302478">
    <w:abstractNumId w:val="7"/>
  </w:num>
  <w:num w:numId="5" w16cid:durableId="1012611596">
    <w:abstractNumId w:val="9"/>
  </w:num>
  <w:num w:numId="6" w16cid:durableId="488593782">
    <w:abstractNumId w:val="2"/>
  </w:num>
  <w:num w:numId="7" w16cid:durableId="17240473">
    <w:abstractNumId w:val="11"/>
  </w:num>
  <w:num w:numId="8" w16cid:durableId="472216694">
    <w:abstractNumId w:val="17"/>
  </w:num>
  <w:num w:numId="9" w16cid:durableId="2032219661">
    <w:abstractNumId w:val="20"/>
  </w:num>
  <w:num w:numId="10" w16cid:durableId="1102804909">
    <w:abstractNumId w:val="14"/>
  </w:num>
  <w:num w:numId="11" w16cid:durableId="1285848471">
    <w:abstractNumId w:val="6"/>
  </w:num>
  <w:num w:numId="12" w16cid:durableId="263077752">
    <w:abstractNumId w:val="15"/>
  </w:num>
  <w:num w:numId="13" w16cid:durableId="898058261">
    <w:abstractNumId w:val="1"/>
  </w:num>
  <w:num w:numId="14" w16cid:durableId="1665469862">
    <w:abstractNumId w:val="12"/>
  </w:num>
  <w:num w:numId="15" w16cid:durableId="1871528711">
    <w:abstractNumId w:val="18"/>
  </w:num>
  <w:num w:numId="16" w16cid:durableId="128977566">
    <w:abstractNumId w:val="5"/>
  </w:num>
  <w:num w:numId="17" w16cid:durableId="437022544">
    <w:abstractNumId w:val="13"/>
  </w:num>
  <w:num w:numId="18" w16cid:durableId="226379662">
    <w:abstractNumId w:val="3"/>
  </w:num>
  <w:num w:numId="19" w16cid:durableId="1630668047">
    <w:abstractNumId w:val="19"/>
  </w:num>
  <w:num w:numId="20" w16cid:durableId="1952541900">
    <w:abstractNumId w:val="4"/>
  </w:num>
  <w:num w:numId="21" w16cid:durableId="1048728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D0"/>
    <w:rsid w:val="0002235A"/>
    <w:rsid w:val="00064659"/>
    <w:rsid w:val="000660EC"/>
    <w:rsid w:val="00082F60"/>
    <w:rsid w:val="0009610C"/>
    <w:rsid w:val="000A62F6"/>
    <w:rsid w:val="000A7C0A"/>
    <w:rsid w:val="000C2D83"/>
    <w:rsid w:val="000E4361"/>
    <w:rsid w:val="000F0BA3"/>
    <w:rsid w:val="00107A2F"/>
    <w:rsid w:val="001509D4"/>
    <w:rsid w:val="00150A53"/>
    <w:rsid w:val="00154C37"/>
    <w:rsid w:val="0017454C"/>
    <w:rsid w:val="001A5B2A"/>
    <w:rsid w:val="001B09EF"/>
    <w:rsid w:val="001B3D0A"/>
    <w:rsid w:val="001C3434"/>
    <w:rsid w:val="001D3963"/>
    <w:rsid w:val="00205257"/>
    <w:rsid w:val="00285DF3"/>
    <w:rsid w:val="002A13D7"/>
    <w:rsid w:val="002B557F"/>
    <w:rsid w:val="002B5F7E"/>
    <w:rsid w:val="002C37DD"/>
    <w:rsid w:val="002C7907"/>
    <w:rsid w:val="002E4F4F"/>
    <w:rsid w:val="002F27AC"/>
    <w:rsid w:val="002F3F6B"/>
    <w:rsid w:val="002F46DB"/>
    <w:rsid w:val="002F6EB5"/>
    <w:rsid w:val="003331BE"/>
    <w:rsid w:val="00350953"/>
    <w:rsid w:val="00367777"/>
    <w:rsid w:val="0038578C"/>
    <w:rsid w:val="003974C0"/>
    <w:rsid w:val="003A11E6"/>
    <w:rsid w:val="003B371F"/>
    <w:rsid w:val="003C0E67"/>
    <w:rsid w:val="003C114D"/>
    <w:rsid w:val="003C62C5"/>
    <w:rsid w:val="003D53A9"/>
    <w:rsid w:val="003F0076"/>
    <w:rsid w:val="00402901"/>
    <w:rsid w:val="0041651F"/>
    <w:rsid w:val="00417529"/>
    <w:rsid w:val="00463F18"/>
    <w:rsid w:val="00481C47"/>
    <w:rsid w:val="0048349B"/>
    <w:rsid w:val="004A1C5E"/>
    <w:rsid w:val="004B10B1"/>
    <w:rsid w:val="004B4363"/>
    <w:rsid w:val="004D18E8"/>
    <w:rsid w:val="004D6C28"/>
    <w:rsid w:val="004F06E6"/>
    <w:rsid w:val="004F24F3"/>
    <w:rsid w:val="00512ABC"/>
    <w:rsid w:val="00520900"/>
    <w:rsid w:val="00543CE1"/>
    <w:rsid w:val="00545C3D"/>
    <w:rsid w:val="005542D1"/>
    <w:rsid w:val="0056188D"/>
    <w:rsid w:val="00566C63"/>
    <w:rsid w:val="00566D74"/>
    <w:rsid w:val="005A1872"/>
    <w:rsid w:val="005B4C48"/>
    <w:rsid w:val="005C4409"/>
    <w:rsid w:val="005F73A8"/>
    <w:rsid w:val="005F7B73"/>
    <w:rsid w:val="006016C9"/>
    <w:rsid w:val="006219B1"/>
    <w:rsid w:val="006234D7"/>
    <w:rsid w:val="00632434"/>
    <w:rsid w:val="00666EB3"/>
    <w:rsid w:val="00672D4C"/>
    <w:rsid w:val="00676383"/>
    <w:rsid w:val="00692A73"/>
    <w:rsid w:val="006B145E"/>
    <w:rsid w:val="006B2058"/>
    <w:rsid w:val="006B56DB"/>
    <w:rsid w:val="006E3936"/>
    <w:rsid w:val="006F4396"/>
    <w:rsid w:val="00703CF2"/>
    <w:rsid w:val="00705168"/>
    <w:rsid w:val="00711E46"/>
    <w:rsid w:val="00717094"/>
    <w:rsid w:val="00724AD7"/>
    <w:rsid w:val="00726A90"/>
    <w:rsid w:val="00730C7F"/>
    <w:rsid w:val="00732D91"/>
    <w:rsid w:val="007351E0"/>
    <w:rsid w:val="0074377F"/>
    <w:rsid w:val="0075302E"/>
    <w:rsid w:val="00763D6F"/>
    <w:rsid w:val="00782565"/>
    <w:rsid w:val="007B21D7"/>
    <w:rsid w:val="007D1F00"/>
    <w:rsid w:val="007D427C"/>
    <w:rsid w:val="007E7CA1"/>
    <w:rsid w:val="008052C4"/>
    <w:rsid w:val="00811DB3"/>
    <w:rsid w:val="00813AEB"/>
    <w:rsid w:val="008179BF"/>
    <w:rsid w:val="008268C4"/>
    <w:rsid w:val="00850672"/>
    <w:rsid w:val="0086671A"/>
    <w:rsid w:val="00874582"/>
    <w:rsid w:val="008A357F"/>
    <w:rsid w:val="008E0837"/>
    <w:rsid w:val="008F48E1"/>
    <w:rsid w:val="0097616B"/>
    <w:rsid w:val="00993FF2"/>
    <w:rsid w:val="009A0D85"/>
    <w:rsid w:val="009A62EB"/>
    <w:rsid w:val="009B0542"/>
    <w:rsid w:val="009C4A6A"/>
    <w:rsid w:val="009C4E40"/>
    <w:rsid w:val="009C56C0"/>
    <w:rsid w:val="009D08BA"/>
    <w:rsid w:val="009E22D0"/>
    <w:rsid w:val="009F1178"/>
    <w:rsid w:val="00A0788A"/>
    <w:rsid w:val="00A22D7C"/>
    <w:rsid w:val="00A4414A"/>
    <w:rsid w:val="00A45475"/>
    <w:rsid w:val="00A569B3"/>
    <w:rsid w:val="00A86319"/>
    <w:rsid w:val="00AA450E"/>
    <w:rsid w:val="00AB6F90"/>
    <w:rsid w:val="00AC2D53"/>
    <w:rsid w:val="00AD0131"/>
    <w:rsid w:val="00AE075B"/>
    <w:rsid w:val="00AE7E31"/>
    <w:rsid w:val="00B360B0"/>
    <w:rsid w:val="00B75089"/>
    <w:rsid w:val="00B9077E"/>
    <w:rsid w:val="00BC4DD9"/>
    <w:rsid w:val="00BC64D3"/>
    <w:rsid w:val="00BC6991"/>
    <w:rsid w:val="00BD4A18"/>
    <w:rsid w:val="00BE0DF0"/>
    <w:rsid w:val="00C306FF"/>
    <w:rsid w:val="00C51CB2"/>
    <w:rsid w:val="00C5592E"/>
    <w:rsid w:val="00C619B1"/>
    <w:rsid w:val="00C87A8C"/>
    <w:rsid w:val="00C91CFA"/>
    <w:rsid w:val="00CD07D4"/>
    <w:rsid w:val="00D0279B"/>
    <w:rsid w:val="00D2424B"/>
    <w:rsid w:val="00D315A4"/>
    <w:rsid w:val="00D40D33"/>
    <w:rsid w:val="00D87506"/>
    <w:rsid w:val="00D958A8"/>
    <w:rsid w:val="00E154EF"/>
    <w:rsid w:val="00E32FB2"/>
    <w:rsid w:val="00E360F6"/>
    <w:rsid w:val="00E40AC5"/>
    <w:rsid w:val="00E567E5"/>
    <w:rsid w:val="00E61024"/>
    <w:rsid w:val="00E82547"/>
    <w:rsid w:val="00EE0C91"/>
    <w:rsid w:val="00EE33E0"/>
    <w:rsid w:val="00F059BD"/>
    <w:rsid w:val="00F05C65"/>
    <w:rsid w:val="00F4143F"/>
    <w:rsid w:val="00F52149"/>
    <w:rsid w:val="00F5319A"/>
    <w:rsid w:val="00F85189"/>
    <w:rsid w:val="00F85670"/>
    <w:rsid w:val="00FA09FA"/>
    <w:rsid w:val="00FA31FE"/>
    <w:rsid w:val="00FA4607"/>
    <w:rsid w:val="00FB4711"/>
    <w:rsid w:val="00FB64FE"/>
    <w:rsid w:val="00FC200B"/>
    <w:rsid w:val="00FC408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2C334"/>
  <w15:docId w15:val="{646AE077-FB80-424B-BA77-D60FEC3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4F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F3"/>
    <w:rPr>
      <w:rFonts w:ascii="Calibri" w:hAnsi="Calibri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E07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F27A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832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085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08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2089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3FFEA61E-9655-419A-8C71-34998AC69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542F4-A0CC-46C6-B3AD-4E5BD893A9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Diane Beckett</cp:lastModifiedBy>
  <cp:revision>3</cp:revision>
  <dcterms:created xsi:type="dcterms:W3CDTF">2026-03-24T16:35:00Z</dcterms:created>
  <dcterms:modified xsi:type="dcterms:W3CDTF">2026-03-24T16:35:00Z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99666341-ace1-49d3-81f2-647a855b85f7</vt:lpwstr>
  </property>
  <property fmtid="{D5CDD505-2E9C-101B-9397-08002B2CF9AE}" pid="3" name="bjSaver">
    <vt:lpwstr>Iyi2XAjFQxsXLJTrdfbd50BQAmr2mN7G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401a61c9-4983-4ada-8b3f-be98d11e98cc_Enabled">
    <vt:lpwstr>true</vt:lpwstr>
  </property>
  <property fmtid="{D5CDD505-2E9C-101B-9397-08002B2CF9AE}" pid="9" name="MSIP_Label_401a61c9-4983-4ada-8b3f-be98d11e98cc_SetDate">
    <vt:lpwstr>2025-11-25T22:05:40Z</vt:lpwstr>
  </property>
  <property fmtid="{D5CDD505-2E9C-101B-9397-08002B2CF9AE}" pid="10" name="MSIP_Label_401a61c9-4983-4ada-8b3f-be98d11e98cc_Method">
    <vt:lpwstr>Privileged</vt:lpwstr>
  </property>
  <property fmtid="{D5CDD505-2E9C-101B-9397-08002B2CF9AE}" pid="11" name="MSIP_Label_401a61c9-4983-4ada-8b3f-be98d11e98cc_Name">
    <vt:lpwstr>Internal</vt:lpwstr>
  </property>
  <property fmtid="{D5CDD505-2E9C-101B-9397-08002B2CF9AE}" pid="12" name="MSIP_Label_401a61c9-4983-4ada-8b3f-be98d11e98cc_SiteId">
    <vt:lpwstr>60e0ab8b-8c8d-4eef-b9c2-f9cb65535c28</vt:lpwstr>
  </property>
  <property fmtid="{D5CDD505-2E9C-101B-9397-08002B2CF9AE}" pid="13" name="MSIP_Label_401a61c9-4983-4ada-8b3f-be98d11e98cc_ActionId">
    <vt:lpwstr>13df055c-279d-4cdf-a2a1-0de3d1f3ff49</vt:lpwstr>
  </property>
  <property fmtid="{D5CDD505-2E9C-101B-9397-08002B2CF9AE}" pid="14" name="MSIP_Label_401a61c9-4983-4ada-8b3f-be98d11e98cc_ContentBits">
    <vt:lpwstr>0</vt:lpwstr>
  </property>
  <property fmtid="{D5CDD505-2E9C-101B-9397-08002B2CF9AE}" pid="15" name="MSIP_Label_401a61c9-4983-4ada-8b3f-be98d11e98cc_Tag">
    <vt:lpwstr>10, 0, 1, 1</vt:lpwstr>
  </property>
</Properties>
</file>