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4"/>
        <w:gridCol w:w="439"/>
        <w:gridCol w:w="469"/>
        <w:gridCol w:w="499"/>
        <w:gridCol w:w="469"/>
        <w:gridCol w:w="469"/>
        <w:gridCol w:w="469"/>
        <w:gridCol w:w="469"/>
        <w:gridCol w:w="469"/>
        <w:gridCol w:w="49"/>
        <w:gridCol w:w="8"/>
        <w:gridCol w:w="416"/>
        <w:gridCol w:w="469"/>
        <w:gridCol w:w="469"/>
        <w:gridCol w:w="469"/>
        <w:gridCol w:w="503"/>
        <w:gridCol w:w="15"/>
        <w:gridCol w:w="439"/>
        <w:gridCol w:w="11"/>
        <w:gridCol w:w="511"/>
        <w:gridCol w:w="594"/>
        <w:gridCol w:w="469"/>
        <w:gridCol w:w="469"/>
        <w:gridCol w:w="469"/>
        <w:gridCol w:w="469"/>
        <w:gridCol w:w="469"/>
        <w:gridCol w:w="439"/>
      </w:tblGrid>
      <w:tr w:rsidR="00DC4B89" w:rsidRPr="000F03AA" w14:paraId="2DF35B04" w14:textId="77777777" w:rsidTr="00255B03">
        <w:trPr>
          <w:gridAfter w:val="6"/>
          <w:wAfter w:w="736" w:type="pct"/>
          <w:trHeight w:val="3247"/>
        </w:trPr>
        <w:tc>
          <w:tcPr>
            <w:tcW w:w="2227" w:type="pct"/>
            <w:shd w:val="clear" w:color="auto" w:fill="auto"/>
            <w:noWrap/>
            <w:vAlign w:val="center"/>
            <w:hideMark/>
          </w:tcPr>
          <w:p w14:paraId="3EC9F482" w14:textId="77777777" w:rsidR="00DC4B89" w:rsidRDefault="00DC4B89" w:rsidP="000F0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en-GB"/>
              </w:rPr>
              <w:t>Non-Executive Director</w:t>
            </w:r>
          </w:p>
          <w:p w14:paraId="64B5FBFC" w14:textId="77777777" w:rsidR="00DC4B89" w:rsidRDefault="00DC4B89" w:rsidP="000F0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en-GB"/>
              </w:rPr>
              <w:t>Skills Matrix</w:t>
            </w:r>
          </w:p>
          <w:p w14:paraId="3490EDCE" w14:textId="77777777" w:rsidR="00DC4B89" w:rsidRDefault="00DC4B89" w:rsidP="000F0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en-GB"/>
              </w:rPr>
            </w:pPr>
          </w:p>
          <w:p w14:paraId="36FFC9F5" w14:textId="77777777" w:rsidR="00DC4B89" w:rsidRDefault="00DC4B89" w:rsidP="00AB7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E389"/>
                <w:lang w:eastAsia="en-GB"/>
              </w:rPr>
            </w:pPr>
            <w:r w:rsidRPr="00E44744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8DB3E2" w:themeFill="text2" w:themeFillTint="66"/>
                <w:lang w:eastAsia="en-GB"/>
              </w:rPr>
              <w:t>Knowledge</w:t>
            </w:r>
            <w:r w:rsidR="008E7BE2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8DB3E2" w:themeFill="text2" w:themeFillTint="66"/>
                <w:lang w:eastAsia="en-GB"/>
              </w:rPr>
              <w:t xml:space="preserve"> </w:t>
            </w:r>
            <w:r w:rsidRPr="00E44744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548DD4" w:themeFill="text2" w:themeFillTint="99"/>
                <w:lang w:eastAsia="en-GB"/>
              </w:rPr>
              <w:t xml:space="preserve"> </w:t>
            </w:r>
            <w:r w:rsidRPr="00E44744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C2D69B" w:themeFill="accent3" w:themeFillTint="99"/>
                <w:lang w:eastAsia="en-GB"/>
              </w:rPr>
              <w:t>Experience</w:t>
            </w:r>
            <w:r w:rsidRPr="00E44744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E389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E389"/>
                <w:lang w:eastAsia="en-GB"/>
              </w:rPr>
              <w:t xml:space="preserve">Skills </w:t>
            </w:r>
            <w:r w:rsidRPr="00AA246F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D99594" w:themeFill="accent2" w:themeFillTint="99"/>
                <w:lang w:eastAsia="en-GB"/>
              </w:rPr>
              <w:t>Qualifications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E389"/>
                <w:lang w:eastAsia="en-GB"/>
              </w:rPr>
              <w:t xml:space="preserve"> </w:t>
            </w:r>
          </w:p>
          <w:p w14:paraId="0DF398D8" w14:textId="77777777" w:rsidR="008E7BE2" w:rsidRDefault="008E7BE2" w:rsidP="00AB7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E389"/>
                <w:lang w:eastAsia="en-GB"/>
              </w:rPr>
            </w:pPr>
          </w:p>
          <w:p w14:paraId="553B4BF7" w14:textId="77777777" w:rsidR="008E7BE2" w:rsidRPr="008E7BE2" w:rsidRDefault="008E7BE2" w:rsidP="00AB7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en-GB"/>
              </w:rPr>
            </w:pPr>
            <w:r w:rsidRPr="008E7BE2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n-GB"/>
              </w:rPr>
              <w:t>Nb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n-GB"/>
              </w:rPr>
              <w:t>.</w:t>
            </w:r>
            <w:r w:rsidRPr="008E7BE2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n-GB"/>
              </w:rPr>
              <w:t xml:space="preserve"> Behaviours are captured within the above</w:t>
            </w:r>
            <w:r w:rsidRPr="008E7BE2">
              <w:rPr>
                <w:rFonts w:ascii="Arial" w:eastAsia="Times New Roman" w:hAnsi="Arial" w:cs="Arial"/>
                <w:b/>
                <w:i/>
                <w:sz w:val="18"/>
                <w:szCs w:val="18"/>
                <w:shd w:val="clear" w:color="auto" w:fill="FFE389"/>
                <w:lang w:eastAsia="en-GB"/>
              </w:rPr>
              <w:t xml:space="preserve"> </w:t>
            </w:r>
          </w:p>
        </w:tc>
        <w:tc>
          <w:tcPr>
            <w:tcW w:w="116" w:type="pct"/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14:paraId="5EDE3718" w14:textId="77777777" w:rsidR="00DC4B89" w:rsidRPr="00B738DC" w:rsidRDefault="00DC4B89" w:rsidP="00DC4B8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B738D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>Chair of Council</w:t>
            </w:r>
          </w:p>
        </w:tc>
        <w:tc>
          <w:tcPr>
            <w:tcW w:w="124" w:type="pct"/>
            <w:shd w:val="clear" w:color="auto" w:fill="DBE5F1" w:themeFill="accent1" w:themeFillTint="33"/>
            <w:textDirection w:val="btLr"/>
          </w:tcPr>
          <w:p w14:paraId="0DF470EF" w14:textId="77777777" w:rsidR="00DC4B89" w:rsidRPr="00B738DC" w:rsidRDefault="004D2E36" w:rsidP="006617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>Vice</w:t>
            </w:r>
            <w:r w:rsidR="00DC4B89" w:rsidRPr="00B738D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 xml:space="preserve"> Chair of Council</w:t>
            </w:r>
            <w:r w:rsidR="0096104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 w:rsidR="0096104B" w:rsidRPr="008A1CC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GB"/>
              </w:rPr>
              <w:t>(Senior independent Adviser)</w:t>
            </w:r>
          </w:p>
        </w:tc>
        <w:tc>
          <w:tcPr>
            <w:tcW w:w="132" w:type="pct"/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14:paraId="759D32CC" w14:textId="77777777" w:rsidR="00DC4B89" w:rsidRPr="00B738DC" w:rsidRDefault="00DC4B89" w:rsidP="006617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B738D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>Council Member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2AB2C23C" w14:textId="77777777" w:rsidR="00DC4B89" w:rsidRPr="00B738DC" w:rsidRDefault="00DC4B89" w:rsidP="006617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B738D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 xml:space="preserve">Chair of Audit and Risk 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26D230AB" w14:textId="77777777" w:rsidR="00DC4B89" w:rsidRPr="00B738DC" w:rsidRDefault="00DC4B89" w:rsidP="006617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B738D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 xml:space="preserve">Member of Audit and Risk </w:t>
            </w:r>
          </w:p>
        </w:tc>
        <w:tc>
          <w:tcPr>
            <w:tcW w:w="124" w:type="pct"/>
            <w:shd w:val="clear" w:color="auto" w:fill="B8CCE4" w:themeFill="accent1" w:themeFillTint="66"/>
            <w:noWrap/>
            <w:textDirection w:val="btLr"/>
            <w:vAlign w:val="center"/>
            <w:hideMark/>
          </w:tcPr>
          <w:p w14:paraId="68A1E4CA" w14:textId="77777777" w:rsidR="00DC4B89" w:rsidRPr="00B738DC" w:rsidRDefault="00DC4B89" w:rsidP="006617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B738D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>Chair of Asset and Liabilities</w:t>
            </w:r>
          </w:p>
        </w:tc>
        <w:tc>
          <w:tcPr>
            <w:tcW w:w="124" w:type="pct"/>
            <w:shd w:val="clear" w:color="auto" w:fill="B8CCE4" w:themeFill="accent1" w:themeFillTint="66"/>
            <w:noWrap/>
            <w:textDirection w:val="btLr"/>
            <w:vAlign w:val="center"/>
            <w:hideMark/>
          </w:tcPr>
          <w:p w14:paraId="25D2FCF7" w14:textId="77777777" w:rsidR="00DC4B89" w:rsidRPr="00B738DC" w:rsidRDefault="00DC4B89" w:rsidP="006617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B738D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>Member of Asset and Liabilities</w:t>
            </w:r>
          </w:p>
        </w:tc>
        <w:tc>
          <w:tcPr>
            <w:tcW w:w="124" w:type="pct"/>
            <w:shd w:val="clear" w:color="auto" w:fill="CCC0D9" w:themeFill="accent4" w:themeFillTint="66"/>
            <w:noWrap/>
            <w:textDirection w:val="btLr"/>
            <w:vAlign w:val="center"/>
            <w:hideMark/>
          </w:tcPr>
          <w:p w14:paraId="2A3F5291" w14:textId="77777777" w:rsidR="00DC4B89" w:rsidRPr="00B738DC" w:rsidRDefault="00DC4B89" w:rsidP="000F03A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B738D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>Chair of Management Oversight</w:t>
            </w:r>
          </w:p>
        </w:tc>
        <w:tc>
          <w:tcPr>
            <w:tcW w:w="125" w:type="pct"/>
            <w:gridSpan w:val="3"/>
            <w:shd w:val="clear" w:color="auto" w:fill="CCC0D9" w:themeFill="accent4" w:themeFillTint="66"/>
            <w:textDirection w:val="btLr"/>
          </w:tcPr>
          <w:p w14:paraId="5A4F5F6A" w14:textId="77777777" w:rsidR="00DC4B89" w:rsidRPr="00B738DC" w:rsidRDefault="00DC4B89" w:rsidP="000F03A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B738D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>Member of Management Oversight</w:t>
            </w:r>
          </w:p>
        </w:tc>
        <w:tc>
          <w:tcPr>
            <w:tcW w:w="124" w:type="pct"/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14:paraId="320C3E13" w14:textId="77777777" w:rsidR="00DC4B89" w:rsidRPr="00B738DC" w:rsidRDefault="00DC4B89" w:rsidP="000F03A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B738D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>Chair of Remuneration and Nominations</w:t>
            </w:r>
          </w:p>
        </w:tc>
        <w:tc>
          <w:tcPr>
            <w:tcW w:w="124" w:type="pct"/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14:paraId="1AB62D34" w14:textId="77777777" w:rsidR="00DC4B89" w:rsidRPr="00B738DC" w:rsidRDefault="00DC4B89" w:rsidP="000F03A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B738D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>Member of Remuneration and Nominations</w:t>
            </w:r>
          </w:p>
        </w:tc>
        <w:tc>
          <w:tcPr>
            <w:tcW w:w="124" w:type="pct"/>
            <w:shd w:val="clear" w:color="auto" w:fill="FEE6FC"/>
            <w:noWrap/>
            <w:textDirection w:val="btLr"/>
            <w:vAlign w:val="center"/>
            <w:hideMark/>
          </w:tcPr>
          <w:p w14:paraId="59F0F69C" w14:textId="77777777" w:rsidR="00DC4B89" w:rsidRPr="00B738DC" w:rsidRDefault="00DC4B89" w:rsidP="000F03A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B738D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 xml:space="preserve">Chair </w:t>
            </w:r>
            <w:r w:rsidR="00297283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>o</w:t>
            </w:r>
            <w:r w:rsidRPr="00B738D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>f Medical</w:t>
            </w:r>
          </w:p>
        </w:tc>
        <w:tc>
          <w:tcPr>
            <w:tcW w:w="133" w:type="pct"/>
            <w:shd w:val="clear" w:color="auto" w:fill="FEE6FC"/>
            <w:noWrap/>
            <w:textDirection w:val="btLr"/>
            <w:vAlign w:val="center"/>
            <w:hideMark/>
          </w:tcPr>
          <w:p w14:paraId="0C31ACE5" w14:textId="77777777" w:rsidR="00DC4B89" w:rsidRPr="00B738DC" w:rsidRDefault="00DC4B89" w:rsidP="000F03A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B738D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>Member of Medical</w:t>
            </w:r>
          </w:p>
        </w:tc>
        <w:tc>
          <w:tcPr>
            <w:tcW w:w="120" w:type="pct"/>
            <w:gridSpan w:val="2"/>
            <w:shd w:val="clear" w:color="auto" w:fill="C3BEFE"/>
            <w:noWrap/>
            <w:textDirection w:val="btLr"/>
            <w:vAlign w:val="center"/>
            <w:hideMark/>
          </w:tcPr>
          <w:p w14:paraId="68C28815" w14:textId="77777777" w:rsidR="00DC4B89" w:rsidRPr="00B738DC" w:rsidRDefault="00DC4B89" w:rsidP="000F03A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B738D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>Chair of Dental</w:t>
            </w:r>
          </w:p>
        </w:tc>
        <w:tc>
          <w:tcPr>
            <w:tcW w:w="138" w:type="pct"/>
            <w:gridSpan w:val="2"/>
            <w:shd w:val="clear" w:color="auto" w:fill="C3BEFE"/>
            <w:noWrap/>
            <w:textDirection w:val="btLr"/>
            <w:vAlign w:val="center"/>
            <w:hideMark/>
          </w:tcPr>
          <w:p w14:paraId="09EB84FE" w14:textId="77777777" w:rsidR="00DC4B89" w:rsidRPr="00B738DC" w:rsidRDefault="00DC4B89" w:rsidP="000F03A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B738D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>Member of Dental</w:t>
            </w:r>
          </w:p>
        </w:tc>
        <w:tc>
          <w:tcPr>
            <w:tcW w:w="157" w:type="pct"/>
            <w:shd w:val="clear" w:color="auto" w:fill="EAF1DD" w:themeFill="accent3" w:themeFillTint="33"/>
            <w:textDirection w:val="btLr"/>
          </w:tcPr>
          <w:p w14:paraId="2B59C550" w14:textId="77777777" w:rsidR="00DC4B89" w:rsidRPr="000B6E26" w:rsidRDefault="00DC4B89" w:rsidP="00876E1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354A7"/>
                <w:sz w:val="16"/>
                <w:szCs w:val="16"/>
                <w:lang w:eastAsia="en-GB"/>
              </w:rPr>
            </w:pPr>
            <w:r w:rsidRPr="00B738D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n-GB"/>
              </w:rPr>
              <w:t>President</w:t>
            </w:r>
          </w:p>
        </w:tc>
      </w:tr>
      <w:tr w:rsidR="008E7BE2" w:rsidRPr="000F03AA" w14:paraId="0EB0870E" w14:textId="77777777" w:rsidTr="00255B03">
        <w:trPr>
          <w:gridAfter w:val="6"/>
          <w:wAfter w:w="736" w:type="pct"/>
          <w:trHeight w:val="285"/>
        </w:trPr>
        <w:tc>
          <w:tcPr>
            <w:tcW w:w="4264" w:type="pct"/>
            <w:gridSpan w:val="21"/>
            <w:shd w:val="clear" w:color="auto" w:fill="A6A6A6" w:themeFill="background1" w:themeFillShade="A6"/>
          </w:tcPr>
          <w:p w14:paraId="6BF770D5" w14:textId="77777777" w:rsidR="008E7BE2" w:rsidRPr="007B56F7" w:rsidRDefault="008E7BE2" w:rsidP="004D2E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D139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Chair and </w:t>
            </w:r>
            <w:r w:rsidR="004D2E3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Vice</w:t>
            </w:r>
            <w:r w:rsidRPr="003D139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Chair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man of Council and Sub-Committees</w:t>
            </w:r>
          </w:p>
        </w:tc>
      </w:tr>
      <w:tr w:rsidR="004E048E" w:rsidRPr="000F03AA" w14:paraId="0319EDC5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FFDF79"/>
            <w:noWrap/>
            <w:vAlign w:val="center"/>
          </w:tcPr>
          <w:p w14:paraId="2539D850" w14:textId="77777777" w:rsidR="00DC4B89" w:rsidRDefault="00DC4B89" w:rsidP="00AB70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Skilled in effective Chairmanship of meetings</w:t>
            </w:r>
            <w:r w:rsidR="008E7BE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:</w:t>
            </w:r>
          </w:p>
          <w:p w14:paraId="372C3FB1" w14:textId="77777777" w:rsidR="00DC4B89" w:rsidRDefault="00DC4B89" w:rsidP="00AB70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Setting the agenda</w:t>
            </w:r>
          </w:p>
          <w:p w14:paraId="37943FD8" w14:textId="77777777" w:rsidR="00DC4B89" w:rsidRDefault="00DC4B89" w:rsidP="00AB70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Focussing on key matters for Council</w:t>
            </w:r>
          </w:p>
          <w:p w14:paraId="4D621371" w14:textId="77777777" w:rsidR="00DC4B89" w:rsidRDefault="00DC4B89" w:rsidP="00AB70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Meeting governance / time management</w:t>
            </w:r>
          </w:p>
          <w:p w14:paraId="4690A4F3" w14:textId="77777777" w:rsidR="00DC4B89" w:rsidRDefault="00DC4B89" w:rsidP="00AB70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Facilitating re</w:t>
            </w:r>
            <w:r w:rsidR="00D2219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spectful, inclusive, purposeful, constructive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debate</w:t>
            </w:r>
          </w:p>
          <w:p w14:paraId="3614E262" w14:textId="77777777" w:rsidR="00DC4B89" w:rsidRPr="00AB70C5" w:rsidRDefault="00DC4B89" w:rsidP="00AB70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Guiding Council to reach the agenda objectives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14:paraId="5A3D96DA" w14:textId="77777777" w:rsidR="00DC4B89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vAlign w:val="center"/>
          </w:tcPr>
          <w:p w14:paraId="07D10D74" w14:textId="77777777" w:rsidR="00DC4B89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79FDCFF6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auto"/>
            <w:noWrap/>
            <w:vAlign w:val="center"/>
          </w:tcPr>
          <w:p w14:paraId="192012BF" w14:textId="77777777" w:rsidR="00DC4B89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E7BDEF5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auto"/>
            <w:noWrap/>
            <w:vAlign w:val="center"/>
          </w:tcPr>
          <w:p w14:paraId="71255855" w14:textId="77777777" w:rsidR="00DC4B89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0BAB47B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auto"/>
            <w:noWrap/>
            <w:vAlign w:val="center"/>
          </w:tcPr>
          <w:p w14:paraId="55AAB969" w14:textId="77777777" w:rsidR="00DC4B89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1197CC1C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auto"/>
            <w:noWrap/>
            <w:vAlign w:val="center"/>
          </w:tcPr>
          <w:p w14:paraId="077E1548" w14:textId="77777777" w:rsidR="00DC4B89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B032D19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auto"/>
            <w:noWrap/>
            <w:vAlign w:val="center"/>
          </w:tcPr>
          <w:p w14:paraId="13E5C591" w14:textId="77777777" w:rsidR="00DC4B89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70D908F7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auto"/>
            <w:noWrap/>
            <w:vAlign w:val="center"/>
          </w:tcPr>
          <w:p w14:paraId="5139DBE6" w14:textId="77777777" w:rsidR="00DC4B89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33B5DD3F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62F599CB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4E048E" w:rsidRPr="000F03AA" w14:paraId="1E324EDD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FFDF79"/>
            <w:noWrap/>
            <w:vAlign w:val="center"/>
            <w:hideMark/>
          </w:tcPr>
          <w:p w14:paraId="14C35D0F" w14:textId="77777777" w:rsidR="00DC4B89" w:rsidRPr="00876E1E" w:rsidRDefault="00DC4B89" w:rsidP="002F2F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Mentoring skills to support CEO in the delivery of their accountabilities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14:paraId="25D5CEA9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vAlign w:val="center"/>
          </w:tcPr>
          <w:p w14:paraId="1665FB72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  <w:hideMark/>
          </w:tcPr>
          <w:p w14:paraId="616BF3EB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  <w:hideMark/>
          </w:tcPr>
          <w:p w14:paraId="05795E5C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  <w:hideMark/>
          </w:tcPr>
          <w:p w14:paraId="1C2596B0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  <w:hideMark/>
          </w:tcPr>
          <w:p w14:paraId="6912984E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  <w:hideMark/>
          </w:tcPr>
          <w:p w14:paraId="0969D549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  <w:hideMark/>
          </w:tcPr>
          <w:p w14:paraId="3C28090B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66EFB553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  <w:hideMark/>
          </w:tcPr>
          <w:p w14:paraId="150C1230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  <w:hideMark/>
          </w:tcPr>
          <w:p w14:paraId="0B227789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  <w:hideMark/>
          </w:tcPr>
          <w:p w14:paraId="445069CF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BF7F606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2A63D7D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  <w:hideMark/>
          </w:tcPr>
          <w:p w14:paraId="4E91C12C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48AC89E1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4E048E" w:rsidRPr="000F03AA" w14:paraId="3CA783CD" w14:textId="77777777" w:rsidTr="00255B03">
        <w:trPr>
          <w:gridAfter w:val="6"/>
          <w:wAfter w:w="736" w:type="pct"/>
          <w:trHeight w:val="282"/>
        </w:trPr>
        <w:tc>
          <w:tcPr>
            <w:tcW w:w="2227" w:type="pct"/>
            <w:shd w:val="clear" w:color="auto" w:fill="FFDF79"/>
            <w:noWrap/>
            <w:vAlign w:val="center"/>
          </w:tcPr>
          <w:p w14:paraId="0B082AC3" w14:textId="77777777" w:rsidR="00DC4B89" w:rsidRPr="00E44744" w:rsidRDefault="00DC4B89" w:rsidP="00C1533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Performance management of Council </w:t>
            </w:r>
            <w:r w:rsidR="00961EB9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/ Sub-Committee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members (individually and as a collective)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14:paraId="535D3056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vAlign w:val="center"/>
          </w:tcPr>
          <w:p w14:paraId="3914479B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5A0BE285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auto"/>
            <w:noWrap/>
            <w:vAlign w:val="center"/>
          </w:tcPr>
          <w:p w14:paraId="14FDE0A9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AA06CCA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auto"/>
            <w:noWrap/>
            <w:vAlign w:val="center"/>
          </w:tcPr>
          <w:p w14:paraId="277A6078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CD3A254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auto"/>
            <w:noWrap/>
            <w:vAlign w:val="center"/>
          </w:tcPr>
          <w:p w14:paraId="7E0735F8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75AE79E7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auto"/>
            <w:noWrap/>
            <w:vAlign w:val="center"/>
          </w:tcPr>
          <w:p w14:paraId="41879B36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A5A500B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auto"/>
            <w:noWrap/>
            <w:vAlign w:val="center"/>
          </w:tcPr>
          <w:p w14:paraId="45BD7F47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11C89300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auto"/>
            <w:noWrap/>
            <w:vAlign w:val="center"/>
          </w:tcPr>
          <w:p w14:paraId="56BC100F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07C0FDF9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11DBE9DD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4E048E" w:rsidRPr="000F03AA" w14:paraId="2917A325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8DB3E2" w:themeFill="text2" w:themeFillTint="66"/>
            <w:noWrap/>
            <w:vAlign w:val="center"/>
          </w:tcPr>
          <w:p w14:paraId="01781203" w14:textId="77777777" w:rsidR="00DC4B89" w:rsidRPr="00216062" w:rsidRDefault="00DC4B89" w:rsidP="00AA246F">
            <w:pPr>
              <w:spacing w:after="0" w:line="240" w:lineRule="auto"/>
              <w:rPr>
                <w:rFonts w:ascii="Arial" w:eastAsia="Times New Roman" w:hAnsi="Arial" w:cs="Arial"/>
                <w:bCs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Diversity awareness for recruitment of Council members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14:paraId="7657BBF4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vAlign w:val="center"/>
          </w:tcPr>
          <w:p w14:paraId="1ED268B2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090726A5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2624155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E715F54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E62E053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2449C94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D37BE19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4E8480E0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C50E944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711B204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CE714E6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2819A667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7B119801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6D014F5A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64E2C99" w14:textId="77777777" w:rsidR="00DC4B89" w:rsidRDefault="00255B0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  <w:p w14:paraId="6011E1FD" w14:textId="77777777" w:rsidR="00961EB9" w:rsidRPr="00961EB9" w:rsidRDefault="00961EB9" w:rsidP="00876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961EB9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Chairman</w:t>
            </w:r>
          </w:p>
        </w:tc>
      </w:tr>
      <w:tr w:rsidR="004E048E" w:rsidRPr="000F03AA" w14:paraId="1722898C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D99594" w:themeFill="accent2" w:themeFillTint="99"/>
            <w:noWrap/>
            <w:vAlign w:val="center"/>
          </w:tcPr>
          <w:p w14:paraId="0ADA7C11" w14:textId="77777777" w:rsidR="00DC4B89" w:rsidRPr="00216062" w:rsidRDefault="00DC4B89" w:rsidP="00297283">
            <w:pPr>
              <w:shd w:val="clear" w:color="auto" w:fill="D99594" w:themeFill="accent2" w:themeFillTint="99"/>
              <w:spacing w:after="0" w:line="240" w:lineRule="auto"/>
              <w:rPr>
                <w:rFonts w:ascii="Arial" w:eastAsia="Times New Roman" w:hAnsi="Arial" w:cs="Arial"/>
                <w:bCs/>
                <w:color w:val="007E3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Qualified as a </w:t>
            </w:r>
            <w:r w:rsidR="00297283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doctor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or dentist 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14:paraId="7AD63F6F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vAlign w:val="center"/>
          </w:tcPr>
          <w:p w14:paraId="084C8C6C" w14:textId="77777777" w:rsidR="00DC4B89" w:rsidRPr="000F03AA" w:rsidRDefault="00DC4B89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7BB3D1E3" w14:textId="77777777" w:rsidR="00DC4B89" w:rsidRPr="000F03AA" w:rsidRDefault="00DC4B89" w:rsidP="0096104B">
            <w:pPr>
              <w:spacing w:after="0" w:line="240" w:lineRule="auto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C87FCAF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7F58BEF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20618CE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EF26D88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560B3F4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09E45E4D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9026E77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D549171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auto"/>
            <w:noWrap/>
            <w:vAlign w:val="center"/>
          </w:tcPr>
          <w:p w14:paraId="005C5719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7" w:type="pct"/>
            <w:gridSpan w:val="2"/>
            <w:shd w:val="clear" w:color="auto" w:fill="auto"/>
            <w:noWrap/>
            <w:vAlign w:val="center"/>
          </w:tcPr>
          <w:p w14:paraId="718612A6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19" w:type="pct"/>
            <w:gridSpan w:val="2"/>
            <w:shd w:val="clear" w:color="auto" w:fill="auto"/>
            <w:noWrap/>
            <w:vAlign w:val="center"/>
          </w:tcPr>
          <w:p w14:paraId="3F866FD4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5" w:type="pct"/>
            <w:shd w:val="clear" w:color="auto" w:fill="auto"/>
            <w:noWrap/>
            <w:vAlign w:val="center"/>
          </w:tcPr>
          <w:p w14:paraId="237CF41B" w14:textId="77777777" w:rsidR="00DC4B89" w:rsidRPr="000F03AA" w:rsidRDefault="00DC4B89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BAD6C5B" w14:textId="77777777" w:rsidR="00DC4B89" w:rsidRPr="000F03AA" w:rsidRDefault="00255B0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255B03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</w:tr>
      <w:tr w:rsidR="00297283" w:rsidRPr="000F03AA" w14:paraId="7A336963" w14:textId="77777777" w:rsidTr="008A1CCA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D99594" w:themeFill="accent2" w:themeFillTint="99"/>
            <w:noWrap/>
            <w:vAlign w:val="center"/>
          </w:tcPr>
          <w:p w14:paraId="230372F6" w14:textId="77777777" w:rsidR="00297283" w:rsidRDefault="00297283" w:rsidP="00AA246F">
            <w:pPr>
              <w:shd w:val="clear" w:color="auto" w:fill="D99594" w:themeFill="accent2" w:themeFillTint="99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Financial and or risk qualification or very significant experience in this area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14:paraId="565E1C8F" w14:textId="77777777" w:rsidR="00297283" w:rsidRPr="000F03AA" w:rsidRDefault="0029728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vAlign w:val="center"/>
          </w:tcPr>
          <w:p w14:paraId="737A87F1" w14:textId="77777777" w:rsidR="00297283" w:rsidRPr="000F03AA" w:rsidRDefault="00297283" w:rsidP="008E7BE2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3EBE1B44" w14:textId="77777777" w:rsidR="00297283" w:rsidRPr="000F03AA" w:rsidRDefault="00297283" w:rsidP="0096104B">
            <w:pPr>
              <w:spacing w:after="0" w:line="240" w:lineRule="auto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1E28DD24" w14:textId="77777777" w:rsidR="00297283" w:rsidRPr="000F03AA" w:rsidRDefault="0029728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0B874F6" w14:textId="77777777" w:rsidR="00297283" w:rsidRPr="000F03AA" w:rsidRDefault="0029728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F6BD4C3" w14:textId="77777777" w:rsidR="00297283" w:rsidRPr="000F03AA" w:rsidRDefault="0029728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6CE1D0C" w14:textId="77777777" w:rsidR="00297283" w:rsidRPr="000F03AA" w:rsidRDefault="0029728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C3D37E3" w14:textId="77777777" w:rsidR="00297283" w:rsidRPr="000F03AA" w:rsidRDefault="0029728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0395FA34" w14:textId="77777777" w:rsidR="00297283" w:rsidRPr="000F03AA" w:rsidRDefault="0029728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BAC3E63" w14:textId="77777777" w:rsidR="00297283" w:rsidRPr="000F03AA" w:rsidRDefault="0029728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9E216DD" w14:textId="77777777" w:rsidR="00297283" w:rsidRPr="000F03AA" w:rsidRDefault="0029728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193C6EB" w14:textId="77777777" w:rsidR="00297283" w:rsidRPr="000F03AA" w:rsidRDefault="0029728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5D430CC5" w14:textId="77777777" w:rsidR="00297283" w:rsidRPr="000F03AA" w:rsidRDefault="0029728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704DD4E1" w14:textId="77777777" w:rsidR="00297283" w:rsidRPr="000F03AA" w:rsidRDefault="0029728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74ECAA7B" w14:textId="77777777" w:rsidR="00297283" w:rsidRPr="000F03AA" w:rsidRDefault="0029728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36551C82" w14:textId="77777777" w:rsidR="00297283" w:rsidRPr="00255B03" w:rsidRDefault="0029728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E3291" w:rsidRPr="000F03AA" w14:paraId="5052BAEC" w14:textId="77777777" w:rsidTr="00255B03">
        <w:trPr>
          <w:gridAfter w:val="6"/>
          <w:wAfter w:w="736" w:type="pct"/>
          <w:trHeight w:val="58"/>
        </w:trPr>
        <w:tc>
          <w:tcPr>
            <w:tcW w:w="4264" w:type="pct"/>
            <w:gridSpan w:val="21"/>
          </w:tcPr>
          <w:p w14:paraId="215EE3B8" w14:textId="77777777" w:rsidR="00FE3291" w:rsidRPr="00C15334" w:rsidRDefault="00FE3291" w:rsidP="00EB2CD2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0"/>
                <w:lang w:eastAsia="en-GB"/>
              </w:rPr>
            </w:pPr>
          </w:p>
        </w:tc>
      </w:tr>
      <w:tr w:rsidR="008E7BE2" w:rsidRPr="000F03AA" w14:paraId="0DF17FC2" w14:textId="77777777" w:rsidTr="00255B03">
        <w:trPr>
          <w:gridAfter w:val="6"/>
          <w:wAfter w:w="736" w:type="pct"/>
          <w:trHeight w:val="285"/>
        </w:trPr>
        <w:tc>
          <w:tcPr>
            <w:tcW w:w="4264" w:type="pct"/>
            <w:gridSpan w:val="21"/>
            <w:shd w:val="clear" w:color="auto" w:fill="A6A6A6" w:themeFill="background1" w:themeFillShade="A6"/>
          </w:tcPr>
          <w:p w14:paraId="10D9C89A" w14:textId="77777777" w:rsidR="008E7BE2" w:rsidRPr="007B56F7" w:rsidRDefault="008E7BE2" w:rsidP="009E2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D139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Council Member</w:t>
            </w:r>
            <w:r w:rsidR="00F71DA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</w:t>
            </w:r>
          </w:p>
        </w:tc>
      </w:tr>
      <w:tr w:rsidR="004E048E" w:rsidRPr="000F03AA" w14:paraId="4CA1AF2D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</w:tcPr>
          <w:p w14:paraId="04BEF7B8" w14:textId="77777777" w:rsidR="008E7BE2" w:rsidRPr="008E7BE2" w:rsidRDefault="008E7BE2" w:rsidP="008E7BE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E7BE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Knowledge of the  role of an Non-Executive Director:</w:t>
            </w:r>
          </w:p>
          <w:p w14:paraId="2D31F0D6" w14:textId="77777777" w:rsidR="008E7BE2" w:rsidRPr="008E7BE2" w:rsidRDefault="008E7BE2" w:rsidP="008E7B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E7BE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Adding value in and out of the boardroom</w:t>
            </w:r>
            <w:r w:rsidR="00D2219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 – what is expected</w:t>
            </w:r>
          </w:p>
          <w:p w14:paraId="6FF114E9" w14:textId="77777777" w:rsidR="008E7BE2" w:rsidRDefault="008E7BE2" w:rsidP="008E7B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E7BE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UK Corporate Governance Code</w:t>
            </w:r>
          </w:p>
          <w:p w14:paraId="0EBC2050" w14:textId="77777777" w:rsidR="00D22192" w:rsidRPr="008E7BE2" w:rsidRDefault="00D22192" w:rsidP="008E7B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E7BE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Purpose and accountabilities of Council and its Sub-Committees</w:t>
            </w:r>
          </w:p>
          <w:p w14:paraId="623065AB" w14:textId="77777777" w:rsidR="008E7BE2" w:rsidRDefault="008E7BE2" w:rsidP="008E7B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7BE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Boardroom Behaviours</w:t>
            </w:r>
            <w:r w:rsidR="009E2C6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, independence of thinking </w:t>
            </w:r>
            <w:r w:rsidRPr="008E7BE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 and effective boards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75B92B55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5BC05064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</w:tcPr>
          <w:p w14:paraId="7BD8F78C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D9DB34A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5F3FA6C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BDAC139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2338631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DAFE196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6F6E24E3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F89F9CB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B40DF27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2BD9F21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5F8E8529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79975D5E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3EE5D96F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12D33B96" w14:textId="77777777" w:rsidR="008E7BE2" w:rsidRPr="000F03AA" w:rsidRDefault="008E7BE2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4E048E" w:rsidRPr="000F03AA" w14:paraId="1E589695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</w:tcPr>
          <w:p w14:paraId="71CA2856" w14:textId="77777777" w:rsidR="008E7BE2" w:rsidRDefault="00D22192" w:rsidP="008E7BE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Knowledge of Non-Executive </w:t>
            </w:r>
            <w:r w:rsidR="008E7BE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Di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rectors’ duties and liabilities:</w:t>
            </w:r>
          </w:p>
          <w:p w14:paraId="737A6705" w14:textId="77777777" w:rsidR="008E7BE2" w:rsidRDefault="00D22192" w:rsidP="008E7B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Non-Executive Director’s</w:t>
            </w:r>
            <w:r w:rsidR="008E7BE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 duties and the Companies Act 2006</w:t>
            </w:r>
          </w:p>
          <w:p w14:paraId="39CF2DB8" w14:textId="77777777" w:rsidR="00D22192" w:rsidRDefault="008E7BE2" w:rsidP="008E7B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D2219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Other responsibilities and potential liabilities for </w:t>
            </w:r>
            <w:r w:rsidR="00D2219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Non-Executive Directors’</w:t>
            </w:r>
            <w:r w:rsidR="00D22192" w:rsidRPr="00D2219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 -  lega</w:t>
            </w:r>
            <w:r w:rsidR="00D2219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l and </w:t>
            </w:r>
            <w:r w:rsidR="00D22192" w:rsidRPr="00D2219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regulatory </w:t>
            </w:r>
            <w:r w:rsidR="00435EC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(Ethical Code of Conduct, Data protection, Equality and Diversity)</w:t>
            </w:r>
          </w:p>
          <w:p w14:paraId="5C19ABE8" w14:textId="77777777" w:rsidR="008E7BE2" w:rsidRPr="00D22192" w:rsidRDefault="008E7BE2" w:rsidP="00D221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D2219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Liability of </w:t>
            </w:r>
            <w:r w:rsidR="00435EC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N</w:t>
            </w:r>
            <w:r w:rsidR="00D2219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on-Executive Directors’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5FE4C8BC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66F5ABE3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</w:tcPr>
          <w:p w14:paraId="79D00A43" w14:textId="77777777" w:rsidR="008E7BE2" w:rsidRPr="000F03AA" w:rsidRDefault="0096104B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D26B4A3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0EC9447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F013112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BC4721B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A5A453B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041ED6F5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E292569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B8CEDA8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8862EEE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7EC345B0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245559FD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796A0BDC" w14:textId="77777777" w:rsidR="008E7BE2" w:rsidRPr="000F03AA" w:rsidRDefault="008E7BE2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7455E5AA" w14:textId="77777777" w:rsidR="008E7BE2" w:rsidRPr="000F03AA" w:rsidRDefault="008E7BE2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4E048E" w:rsidRPr="000F03AA" w14:paraId="475DB6FA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</w:tcPr>
          <w:p w14:paraId="4795944A" w14:textId="77777777" w:rsidR="0096104B" w:rsidRPr="00435ECB" w:rsidRDefault="0096104B" w:rsidP="009E2C6E">
            <w:p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435EC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Knowledge of MPS</w:t>
            </w:r>
          </w:p>
          <w:p w14:paraId="5066C3A2" w14:textId="77777777" w:rsidR="00435ECB" w:rsidRDefault="00435ECB" w:rsidP="009E2C6E">
            <w:pPr>
              <w:pStyle w:val="ListParagraph"/>
              <w:numPr>
                <w:ilvl w:val="0"/>
                <w:numId w:val="1"/>
              </w:num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435EC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Market Challenges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and the </w:t>
            </w:r>
            <w:r w:rsidRPr="00435EC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competitive environmen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t</w:t>
            </w:r>
            <w:r w:rsidRPr="00435EC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 (UK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 and I</w:t>
            </w:r>
            <w:r w:rsidRPr="00435EC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nternational)</w:t>
            </w:r>
          </w:p>
          <w:p w14:paraId="116BF525" w14:textId="77777777" w:rsidR="00435ECB" w:rsidRDefault="004A4B3F" w:rsidP="009E2C6E">
            <w:pPr>
              <w:pStyle w:val="ListParagraph"/>
              <w:numPr>
                <w:ilvl w:val="0"/>
                <w:numId w:val="1"/>
              </w:num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Corporate vision, </w:t>
            </w:r>
            <w:r w:rsidR="00435ECB" w:rsidRPr="00435EC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Business strategy</w:t>
            </w:r>
            <w:r w:rsidR="00435ECB" w:rsidRPr="00435EC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ab/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and Corporate plan</w:t>
            </w:r>
          </w:p>
          <w:p w14:paraId="75A8575E" w14:textId="77777777" w:rsidR="00761C0F" w:rsidRPr="00435ECB" w:rsidRDefault="00761C0F" w:rsidP="009E2C6E">
            <w:pPr>
              <w:pStyle w:val="ListParagraph"/>
              <w:numPr>
                <w:ilvl w:val="0"/>
                <w:numId w:val="1"/>
              </w:num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MPS rules </w:t>
            </w:r>
          </w:p>
          <w:p w14:paraId="562CA390" w14:textId="77777777" w:rsidR="00435ECB" w:rsidRPr="00435ECB" w:rsidRDefault="00435ECB" w:rsidP="009E2C6E">
            <w:pPr>
              <w:pStyle w:val="ListParagraph"/>
              <w:numPr>
                <w:ilvl w:val="0"/>
                <w:numId w:val="1"/>
              </w:num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435EC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Financial reporting and performance</w:t>
            </w:r>
          </w:p>
          <w:p w14:paraId="098BB33E" w14:textId="77777777" w:rsidR="00435ECB" w:rsidRPr="00435ECB" w:rsidRDefault="00435ECB" w:rsidP="009E2C6E">
            <w:pPr>
              <w:pStyle w:val="ListParagraph"/>
              <w:numPr>
                <w:ilvl w:val="0"/>
                <w:numId w:val="1"/>
              </w:num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435EC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lastRenderedPageBreak/>
              <w:t>Integrity of MPS F</w:t>
            </w:r>
            <w:r w:rsidR="00761C0F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unding performance</w:t>
            </w:r>
          </w:p>
          <w:p w14:paraId="4F680287" w14:textId="77777777" w:rsidR="00435ECB" w:rsidRPr="00761C0F" w:rsidRDefault="00435ECB" w:rsidP="00761C0F">
            <w:pPr>
              <w:pStyle w:val="ListParagraph"/>
              <w:numPr>
                <w:ilvl w:val="0"/>
                <w:numId w:val="1"/>
              </w:num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761C0F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Member Experience / journey, membership products, services and MPS differentiation</w:t>
            </w:r>
          </w:p>
          <w:p w14:paraId="6435C6F0" w14:textId="77777777" w:rsidR="00761C0F" w:rsidRDefault="00761C0F" w:rsidP="009E2C6E">
            <w:pPr>
              <w:pStyle w:val="ListParagraph"/>
              <w:numPr>
                <w:ilvl w:val="0"/>
                <w:numId w:val="1"/>
              </w:num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Core behaviours and culture</w:t>
            </w:r>
          </w:p>
          <w:p w14:paraId="7E1DD37A" w14:textId="77777777" w:rsidR="00435ECB" w:rsidRDefault="00435ECB" w:rsidP="009E2C6E">
            <w:pPr>
              <w:pStyle w:val="ListParagraph"/>
              <w:numPr>
                <w:ilvl w:val="0"/>
                <w:numId w:val="1"/>
              </w:num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HR Strategy</w:t>
            </w:r>
          </w:p>
          <w:p w14:paraId="5946FDE8" w14:textId="77777777" w:rsidR="00761C0F" w:rsidRPr="00761C0F" w:rsidRDefault="00435ECB" w:rsidP="00761C0F">
            <w:pPr>
              <w:pStyle w:val="ListParagraph"/>
              <w:numPr>
                <w:ilvl w:val="0"/>
                <w:numId w:val="1"/>
              </w:num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IT Strategy</w:t>
            </w:r>
          </w:p>
          <w:p w14:paraId="1387A099" w14:textId="77777777" w:rsidR="00AB0333" w:rsidRPr="00AB0333" w:rsidRDefault="00761C0F" w:rsidP="00AB0333">
            <w:pPr>
              <w:pStyle w:val="ListParagraph"/>
              <w:numPr>
                <w:ilvl w:val="0"/>
                <w:numId w:val="1"/>
              </w:num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Operations</w:t>
            </w:r>
          </w:p>
          <w:p w14:paraId="5528D5F6" w14:textId="77777777" w:rsidR="005759E4" w:rsidRDefault="005759E4" w:rsidP="00AB0333">
            <w:pPr>
              <w:pStyle w:val="ListParagraph"/>
              <w:numPr>
                <w:ilvl w:val="0"/>
                <w:numId w:val="5"/>
              </w:num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Claims management</w:t>
            </w:r>
          </w:p>
          <w:p w14:paraId="1AA52A0B" w14:textId="77777777" w:rsidR="005759E4" w:rsidRDefault="005759E4" w:rsidP="00AB0333">
            <w:pPr>
              <w:pStyle w:val="ListParagraph"/>
              <w:numPr>
                <w:ilvl w:val="0"/>
                <w:numId w:val="5"/>
              </w:num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Cases management</w:t>
            </w:r>
          </w:p>
          <w:p w14:paraId="4D4A9C25" w14:textId="77777777" w:rsidR="00435ECB" w:rsidRPr="00A14BCF" w:rsidRDefault="005759E4" w:rsidP="00AB03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5ECB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Member Operations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42552177" w14:textId="77777777" w:rsidR="0096104B" w:rsidRPr="000F03AA" w:rsidRDefault="0096104B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56F1ACE5" w14:textId="77777777" w:rsidR="0096104B" w:rsidRPr="000F03AA" w:rsidRDefault="0096104B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</w:tcPr>
          <w:p w14:paraId="10829ECB" w14:textId="77777777" w:rsidR="0096104B" w:rsidRPr="000F03AA" w:rsidRDefault="009E2C6E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E127DCD" w14:textId="77777777" w:rsidR="0096104B" w:rsidRPr="000F03AA" w:rsidRDefault="0096104B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6711A2F" w14:textId="77777777" w:rsidR="0096104B" w:rsidRPr="000F03AA" w:rsidRDefault="0096104B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C064887" w14:textId="77777777" w:rsidR="0096104B" w:rsidRPr="000F03AA" w:rsidRDefault="0096104B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8193982" w14:textId="77777777" w:rsidR="0096104B" w:rsidRPr="000F03AA" w:rsidRDefault="0096104B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AC02197" w14:textId="77777777" w:rsidR="0096104B" w:rsidRPr="000F03AA" w:rsidRDefault="0096104B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37D59751" w14:textId="77777777" w:rsidR="0096104B" w:rsidRPr="000F03AA" w:rsidRDefault="0096104B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81AC2D7" w14:textId="77777777" w:rsidR="0096104B" w:rsidRPr="000F03AA" w:rsidRDefault="0096104B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5B15F5C" w14:textId="77777777" w:rsidR="0096104B" w:rsidRPr="000F03AA" w:rsidRDefault="0096104B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0A4418A" w14:textId="77777777" w:rsidR="0096104B" w:rsidRPr="000F03AA" w:rsidRDefault="0096104B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0872FAF1" w14:textId="77777777" w:rsidR="0096104B" w:rsidRPr="000F03AA" w:rsidRDefault="0096104B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3E119EAE" w14:textId="77777777" w:rsidR="0096104B" w:rsidRPr="000F03AA" w:rsidRDefault="0096104B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45015CB7" w14:textId="77777777" w:rsidR="0096104B" w:rsidRPr="000F03AA" w:rsidRDefault="0096104B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604EBAB6" w14:textId="77777777" w:rsidR="0096104B" w:rsidRPr="000F03AA" w:rsidRDefault="0096104B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61C0F" w:rsidRPr="000F03AA" w14:paraId="2FE695E4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</w:tcPr>
          <w:p w14:paraId="71416D02" w14:textId="77777777" w:rsidR="00761C0F" w:rsidRDefault="00AB0333" w:rsidP="009E2C6E">
            <w:p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Knowledge of l</w:t>
            </w:r>
            <w:r w:rsidR="00761C0F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egal and regulatory framework specific to MPS</w:t>
            </w:r>
          </w:p>
          <w:p w14:paraId="75FFDDE9" w14:textId="77777777" w:rsidR="00AB0333" w:rsidRPr="00AB0333" w:rsidRDefault="00AB0333" w:rsidP="00AB0333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 w:rsidRPr="00AB0333">
              <w:rPr>
                <w:rFonts w:ascii="Arial" w:hAnsi="Arial" w:cs="Arial"/>
                <w:bCs/>
                <w:color w:val="auto"/>
                <w:sz w:val="18"/>
                <w:szCs w:val="16"/>
              </w:rPr>
              <w:t>Understanding of medical/ dental negligence</w:t>
            </w:r>
          </w:p>
          <w:p w14:paraId="73F11AF8" w14:textId="77777777" w:rsidR="00AB0333" w:rsidRPr="00AB0333" w:rsidRDefault="00AB0333" w:rsidP="00AB0333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 w:rsidRPr="00AB0333">
              <w:rPr>
                <w:rFonts w:ascii="Arial" w:hAnsi="Arial" w:cs="Arial"/>
                <w:bCs/>
                <w:color w:val="auto"/>
                <w:sz w:val="18"/>
                <w:szCs w:val="16"/>
              </w:rPr>
              <w:t>Tort law and Court issues</w:t>
            </w:r>
          </w:p>
          <w:p w14:paraId="03A48885" w14:textId="77777777" w:rsidR="00AB0333" w:rsidRPr="00AB0333" w:rsidRDefault="00AB0333" w:rsidP="00AB0333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 w:rsidRPr="00AB0333">
              <w:rPr>
                <w:rFonts w:ascii="Arial" w:hAnsi="Arial" w:cs="Arial"/>
                <w:bCs/>
                <w:color w:val="auto"/>
                <w:sz w:val="18"/>
                <w:szCs w:val="16"/>
              </w:rPr>
              <w:t>Discretional indemnity Vs Insurance</w:t>
            </w:r>
          </w:p>
          <w:p w14:paraId="5A16037F" w14:textId="77777777" w:rsidR="00AB0333" w:rsidRPr="00AB0333" w:rsidRDefault="00AB0333" w:rsidP="00AB0333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 w:rsidRPr="00AB0333">
              <w:rPr>
                <w:rFonts w:ascii="Arial" w:hAnsi="Arial" w:cs="Arial"/>
                <w:bCs/>
                <w:color w:val="auto"/>
                <w:sz w:val="18"/>
                <w:szCs w:val="16"/>
              </w:rPr>
              <w:t>Historical precedent (Australia example)</w:t>
            </w:r>
          </w:p>
          <w:p w14:paraId="19910D49" w14:textId="77777777" w:rsidR="00AB0333" w:rsidRPr="00AB0333" w:rsidRDefault="00AB0333" w:rsidP="00AB0333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 w:rsidRPr="00AB0333">
              <w:rPr>
                <w:rFonts w:ascii="Arial" w:hAnsi="Arial" w:cs="Arial"/>
                <w:bCs/>
                <w:color w:val="auto"/>
                <w:sz w:val="18"/>
                <w:szCs w:val="16"/>
              </w:rPr>
              <w:t>UK Vs International regulatory pressures</w:t>
            </w:r>
          </w:p>
          <w:p w14:paraId="6CB75D71" w14:textId="77777777" w:rsidR="00AB0333" w:rsidRPr="00AB0333" w:rsidRDefault="00AB0333" w:rsidP="00AB0333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 w:rsidRPr="00AB0333">
              <w:rPr>
                <w:rFonts w:ascii="Arial" w:hAnsi="Arial" w:cs="Arial"/>
                <w:bCs/>
                <w:color w:val="auto"/>
                <w:sz w:val="18"/>
                <w:szCs w:val="16"/>
              </w:rPr>
              <w:t xml:space="preserve">Legal Challenges </w:t>
            </w:r>
          </w:p>
          <w:p w14:paraId="5188B388" w14:textId="77777777" w:rsidR="00AB0333" w:rsidRPr="00435ECB" w:rsidRDefault="00AB0333" w:rsidP="009E2C6E">
            <w:p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045C4F70" w14:textId="77777777" w:rsidR="00761C0F" w:rsidRPr="000F03AA" w:rsidRDefault="00761C0F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646025CC" w14:textId="77777777" w:rsidR="00761C0F" w:rsidRPr="000F03AA" w:rsidRDefault="00761C0F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</w:tcPr>
          <w:p w14:paraId="5796E018" w14:textId="77777777" w:rsidR="00761C0F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21FE284" w14:textId="77777777" w:rsidR="00761C0F" w:rsidRPr="000F03AA" w:rsidRDefault="00761C0F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C41CE14" w14:textId="77777777" w:rsidR="00761C0F" w:rsidRPr="000F03AA" w:rsidRDefault="00761C0F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38B8CDC" w14:textId="77777777" w:rsidR="00761C0F" w:rsidRPr="000F03AA" w:rsidRDefault="00761C0F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BA7CB95" w14:textId="77777777" w:rsidR="00761C0F" w:rsidRPr="000F03AA" w:rsidRDefault="00761C0F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F39F01D" w14:textId="77777777" w:rsidR="00761C0F" w:rsidRPr="000F03AA" w:rsidRDefault="00761C0F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6CBD7255" w14:textId="77777777" w:rsidR="00761C0F" w:rsidRPr="000F03AA" w:rsidRDefault="00761C0F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AD81300" w14:textId="77777777" w:rsidR="00761C0F" w:rsidRPr="000F03AA" w:rsidRDefault="00761C0F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E5DC50A" w14:textId="77777777" w:rsidR="00761C0F" w:rsidRPr="000F03AA" w:rsidRDefault="00761C0F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E5CC289" w14:textId="77777777" w:rsidR="00761C0F" w:rsidRPr="000F03AA" w:rsidRDefault="00761C0F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079FDA90" w14:textId="77777777" w:rsidR="00761C0F" w:rsidRPr="000F03AA" w:rsidRDefault="00761C0F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1A908328" w14:textId="77777777" w:rsidR="00761C0F" w:rsidRPr="000F03AA" w:rsidRDefault="00761C0F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35045BE4" w14:textId="77777777" w:rsidR="00761C0F" w:rsidRPr="000F03AA" w:rsidRDefault="00761C0F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034602D0" w14:textId="77777777" w:rsidR="00761C0F" w:rsidRPr="000F03AA" w:rsidRDefault="00761C0F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DB0316" w:rsidRPr="000F03AA" w14:paraId="1440308B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</w:tcPr>
          <w:p w14:paraId="3C112BBD" w14:textId="77777777" w:rsidR="00DB0316" w:rsidRDefault="00DB0316" w:rsidP="009E2C6E">
            <w:p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Appreciation / Understanding of :</w:t>
            </w:r>
          </w:p>
          <w:p w14:paraId="79C7CF51" w14:textId="77777777" w:rsidR="00DB0316" w:rsidRPr="00DB0316" w:rsidRDefault="00DB0316" w:rsidP="00DB0316">
            <w:p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DB0316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-</w:t>
            </w:r>
            <w:r w:rsidRPr="00DB0316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ab/>
              <w:t>Operational risk appetite, exposures and controls</w:t>
            </w:r>
          </w:p>
          <w:p w14:paraId="01695895" w14:textId="77777777" w:rsidR="00DB0316" w:rsidRPr="00DB0316" w:rsidRDefault="00DB0316" w:rsidP="00DB0316">
            <w:p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DB0316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-</w:t>
            </w:r>
            <w:r w:rsidRPr="00DB0316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  <w:tab/>
              <w:t>Underwriting risk, actuarial challenges and pricing strategy</w:t>
            </w:r>
          </w:p>
          <w:p w14:paraId="4177ECDF" w14:textId="77777777" w:rsidR="00DB0316" w:rsidRDefault="00DB0316" w:rsidP="00DB0316">
            <w:p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en-GB"/>
              </w:rPr>
            </w:pPr>
          </w:p>
          <w:p w14:paraId="30C70F50" w14:textId="77777777" w:rsidR="00DB0316" w:rsidRPr="00DB0316" w:rsidRDefault="00DB0316" w:rsidP="00DB0316">
            <w:pPr>
              <w:shd w:val="clear" w:color="auto" w:fill="95B3D7" w:themeFill="accent1" w:themeFillTint="99"/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en-GB"/>
              </w:rPr>
            </w:pPr>
            <w:r w:rsidRPr="00DB0316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en-GB"/>
              </w:rPr>
              <w:t>(Audit and Risk / Asset and Liability Committee members must have a deeper knowledge of these areas)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5FA34F5F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1728CB27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</w:tcPr>
          <w:p w14:paraId="13065044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44203E9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39CFF3A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8F81807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0BEBB14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01BD5BD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76E3ADF1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794E12D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58F411B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3C186C5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525C04DD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2F336F33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633DB3FE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512F0784" w14:textId="77777777" w:rsidR="00DB0316" w:rsidRPr="000F03AA" w:rsidRDefault="00DB0316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4E048E" w:rsidRPr="000F03AA" w14:paraId="5DB8C820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D99594" w:themeFill="accent2" w:themeFillTint="99"/>
            <w:noWrap/>
            <w:vAlign w:val="center"/>
          </w:tcPr>
          <w:p w14:paraId="7D92F2F3" w14:textId="77777777" w:rsidR="009E2C6E" w:rsidRPr="00216062" w:rsidRDefault="009E2C6E" w:rsidP="009271A2">
            <w:pPr>
              <w:shd w:val="clear" w:color="auto" w:fill="D99594" w:themeFill="accent2" w:themeFillTint="99"/>
              <w:spacing w:after="0" w:line="240" w:lineRule="auto"/>
              <w:rPr>
                <w:rFonts w:ascii="Arial" w:eastAsia="Times New Roman" w:hAnsi="Arial" w:cs="Arial"/>
                <w:bCs/>
                <w:color w:val="007E3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Qualified as a </w:t>
            </w:r>
            <w:r w:rsidR="009271A2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doctor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or dentist 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097F45CC" w14:textId="77777777" w:rsidR="009E2C6E" w:rsidRPr="000F03AA" w:rsidRDefault="009E2C6E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vAlign w:val="center"/>
          </w:tcPr>
          <w:p w14:paraId="72A55DC7" w14:textId="77777777" w:rsidR="009E2C6E" w:rsidRPr="000F03AA" w:rsidRDefault="009E2C6E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auto"/>
            <w:noWrap/>
            <w:vAlign w:val="center"/>
          </w:tcPr>
          <w:p w14:paraId="4D0B7DC0" w14:textId="77777777" w:rsidR="009E2C6E" w:rsidRPr="000F03AA" w:rsidRDefault="009E2C6E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0F03AA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  <w:r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</w:t>
            </w:r>
            <w:r>
              <w:rPr>
                <w:rFonts w:eastAsia="Times New Roman" w:cs="Arial"/>
                <w:color w:val="000000"/>
                <w:sz w:val="12"/>
                <w:szCs w:val="16"/>
                <w:lang w:eastAsia="en-GB"/>
              </w:rPr>
              <w:t>&gt;50%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CE3FC4D" w14:textId="77777777" w:rsidR="009E2C6E" w:rsidRPr="000F03AA" w:rsidRDefault="009E2C6E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152EFBC" w14:textId="77777777" w:rsidR="009E2C6E" w:rsidRPr="000F03AA" w:rsidRDefault="009E2C6E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5C3F05D" w14:textId="77777777" w:rsidR="009E2C6E" w:rsidRPr="000F03AA" w:rsidRDefault="009E2C6E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8E8FD4D" w14:textId="77777777" w:rsidR="009E2C6E" w:rsidRPr="000F03AA" w:rsidRDefault="009E2C6E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D4A1A75" w14:textId="77777777" w:rsidR="009E2C6E" w:rsidRPr="000F03AA" w:rsidRDefault="009E2C6E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4EE5F024" w14:textId="77777777" w:rsidR="009E2C6E" w:rsidRPr="000F03AA" w:rsidRDefault="009E2C6E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63A75CF" w14:textId="77777777" w:rsidR="009E2C6E" w:rsidRPr="000F03AA" w:rsidRDefault="009E2C6E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BC67325" w14:textId="77777777" w:rsidR="009E2C6E" w:rsidRPr="000F03AA" w:rsidRDefault="009E2C6E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73C3054" w14:textId="77777777" w:rsidR="009E2C6E" w:rsidRPr="000F03AA" w:rsidRDefault="009E2C6E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1B16D0EC" w14:textId="77777777" w:rsidR="009E2C6E" w:rsidRPr="000F03AA" w:rsidRDefault="009E2C6E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5559AF5F" w14:textId="77777777" w:rsidR="009E2C6E" w:rsidRPr="000F03AA" w:rsidRDefault="009E2C6E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6CA9ADD8" w14:textId="77777777" w:rsidR="009E2C6E" w:rsidRPr="000F03AA" w:rsidRDefault="009E2C6E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447F2B9C" w14:textId="77777777" w:rsidR="009E2C6E" w:rsidRPr="000F03AA" w:rsidRDefault="009E2C6E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9E2C6E" w:rsidRPr="000F03AA" w14:paraId="4DBA3198" w14:textId="77777777" w:rsidTr="00255B03">
        <w:trPr>
          <w:gridAfter w:val="6"/>
          <w:wAfter w:w="736" w:type="pct"/>
          <w:trHeight w:val="654"/>
        </w:trPr>
        <w:tc>
          <w:tcPr>
            <w:tcW w:w="4264" w:type="pct"/>
            <w:gridSpan w:val="21"/>
            <w:shd w:val="clear" w:color="auto" w:fill="FFFFFF" w:themeFill="background1"/>
            <w:noWrap/>
            <w:vAlign w:val="center"/>
          </w:tcPr>
          <w:p w14:paraId="14E26645" w14:textId="77777777" w:rsidR="00F31631" w:rsidRPr="00F31631" w:rsidRDefault="00F31631" w:rsidP="00F3163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</w:pPr>
            <w:r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The Remuneration and Nominations Committee </w:t>
            </w:r>
            <w:r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>on behalf of Council will:</w:t>
            </w:r>
            <w:r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 </w:t>
            </w:r>
          </w:p>
          <w:p w14:paraId="4C7A1518" w14:textId="77777777" w:rsidR="00F31631" w:rsidRDefault="009271A2" w:rsidP="00F316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>O</w:t>
            </w:r>
            <w:r w:rsidR="00F31631"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>versee the composition of subsidiary boards and Committees, having</w:t>
            </w:r>
            <w:r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 regard to desirable skills, experience</w:t>
            </w:r>
            <w:r w:rsidR="00F31631"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 and diversity</w:t>
            </w:r>
          </w:p>
          <w:p w14:paraId="0288241F" w14:textId="77777777" w:rsidR="009271A2" w:rsidRDefault="00F31631" w:rsidP="00F316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>M</w:t>
            </w:r>
            <w:r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>ake recommendations to Council for the appointment of members of Co</w:t>
            </w:r>
            <w:r w:rsidR="009271A2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>uncil to subsidiary boards and C</w:t>
            </w:r>
            <w:r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>ommittees</w:t>
            </w:r>
          </w:p>
          <w:p w14:paraId="3BDE6A0A" w14:textId="77777777" w:rsidR="00F31631" w:rsidRDefault="009271A2" w:rsidP="00F316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>O</w:t>
            </w:r>
            <w:r w:rsid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versee the assessment of </w:t>
            </w:r>
            <w:r w:rsidR="00F31631"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>capabilities of the subsidiary boards and Committees</w:t>
            </w:r>
            <w:r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 and define the training programme and /or appointments required to address gaps. </w:t>
            </w:r>
            <w:r w:rsidR="00F31631"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 </w:t>
            </w:r>
          </w:p>
          <w:p w14:paraId="5E96E4FD" w14:textId="77777777" w:rsidR="00F31631" w:rsidRPr="009271A2" w:rsidRDefault="00F31631" w:rsidP="009271A2">
            <w:pPr>
              <w:spacing w:after="0" w:line="240" w:lineRule="auto"/>
              <w:ind w:left="360"/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</w:pPr>
          </w:p>
          <w:p w14:paraId="5DDBA935" w14:textId="77777777" w:rsidR="00144A14" w:rsidRDefault="00E41FF3" w:rsidP="00F3163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</w:pPr>
            <w:r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The Chairs of Sub-Committees’ </w:t>
            </w:r>
            <w:r w:rsidR="009271A2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>will work with the Remuneration and Nominations Committee to assess the performance of the Committee and ensure</w:t>
            </w:r>
            <w:r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 that the constitution of each Committee comprises the required skills across its members. It is recognised that on app</w:t>
            </w:r>
            <w:r w:rsidR="00144A14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ointment </w:t>
            </w:r>
            <w:r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Committee members </w:t>
            </w:r>
            <w:r w:rsidR="00144A14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>may not</w:t>
            </w:r>
            <w:r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 be fully competent and </w:t>
            </w:r>
            <w:r w:rsidR="00144A14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where appropriate </w:t>
            </w:r>
            <w:r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>a development programme will be agreed to address any gaps</w:t>
            </w:r>
            <w:r w:rsidR="00961EB9"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>.</w:t>
            </w:r>
            <w:r w:rsidR="00144A14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 Please see additional comments under the Medical and Dental Committee.</w:t>
            </w:r>
            <w:r w:rsidR="00144A14"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 </w:t>
            </w:r>
          </w:p>
          <w:p w14:paraId="4EF7344A" w14:textId="77777777" w:rsidR="00255B03" w:rsidRPr="00F31631" w:rsidRDefault="00144A14" w:rsidP="00144A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</w:pPr>
            <w:r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>The</w:t>
            </w:r>
            <w:r w:rsidR="00255B03"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 following </w:t>
            </w:r>
            <w:r w:rsidR="00961EB9" w:rsidRPr="00F31631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 xml:space="preserve">knowledge, skills and experiences are additional to those listed above for Chairs of Committees and </w:t>
            </w:r>
            <w:r w:rsidR="009271A2">
              <w:rPr>
                <w:rFonts w:ascii="Arial" w:eastAsia="Times New Roman" w:hAnsi="Arial" w:cs="Arial"/>
                <w:i/>
                <w:sz w:val="18"/>
                <w:szCs w:val="20"/>
                <w:lang w:eastAsia="en-GB"/>
              </w:rPr>
              <w:t>Members of Council.</w:t>
            </w:r>
          </w:p>
          <w:p w14:paraId="7C9DD325" w14:textId="77777777" w:rsidR="00255B03" w:rsidRPr="009E2C6E" w:rsidRDefault="00255B03" w:rsidP="00E41FF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"/>
                <w:szCs w:val="2"/>
                <w:lang w:eastAsia="en-GB"/>
              </w:rPr>
            </w:pPr>
          </w:p>
        </w:tc>
      </w:tr>
      <w:tr w:rsidR="009E2C6E" w:rsidRPr="000F03AA" w14:paraId="0C7A27E1" w14:textId="77777777" w:rsidTr="00255B03">
        <w:trPr>
          <w:gridAfter w:val="6"/>
          <w:wAfter w:w="736" w:type="pct"/>
          <w:trHeight w:val="417"/>
        </w:trPr>
        <w:tc>
          <w:tcPr>
            <w:tcW w:w="4264" w:type="pct"/>
            <w:gridSpan w:val="21"/>
            <w:shd w:val="clear" w:color="auto" w:fill="A6A6A6" w:themeFill="background1" w:themeFillShade="A6"/>
            <w:noWrap/>
            <w:vAlign w:val="center"/>
          </w:tcPr>
          <w:p w14:paraId="7B0D777F" w14:textId="77777777" w:rsidR="009E2C6E" w:rsidRPr="00E41FF3" w:rsidRDefault="009E2C6E" w:rsidP="00987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Audit and Risk Co</w:t>
            </w:r>
            <w:r w:rsidRPr="009E2C6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mmittee</w:t>
            </w:r>
          </w:p>
          <w:p w14:paraId="4EAE36D3" w14:textId="77777777" w:rsidR="00E41FF3" w:rsidRPr="009E2C6E" w:rsidRDefault="00E41FF3" w:rsidP="00E41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DB0316" w:rsidRPr="000F03AA" w14:paraId="5CBD4662" w14:textId="77777777" w:rsidTr="00255B03">
        <w:trPr>
          <w:gridAfter w:val="6"/>
          <w:wAfter w:w="736" w:type="pct"/>
          <w:trHeight w:val="417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45589371" w14:textId="77777777" w:rsidR="00DB0316" w:rsidRPr="00E44744" w:rsidRDefault="00DB0316" w:rsidP="000F03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Knowledge of accounting policies</w:t>
            </w:r>
            <w:r w:rsidR="00902443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and financial reporting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721D326F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6524CB1A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4F908B2C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7737F1F2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3849BE63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0199DFB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1CE5AA1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477D864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54B525DB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47A1EDF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BFF2276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5D9CD5B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2FA7D049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53EE4B26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77C5C758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797D734D" w14:textId="77777777" w:rsidR="00DB0316" w:rsidRPr="000F03AA" w:rsidRDefault="00DB0316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DB0316" w:rsidRPr="000F03AA" w14:paraId="5C8C077D" w14:textId="77777777" w:rsidTr="00255B03">
        <w:trPr>
          <w:gridAfter w:val="6"/>
          <w:wAfter w:w="736" w:type="pct"/>
          <w:trHeight w:val="417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64420FB7" w14:textId="77777777" w:rsidR="00DB0316" w:rsidRPr="00E44744" w:rsidRDefault="00DB0316" w:rsidP="000F03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Knowledge of risk appetite, tolerance and strategy applicable to MPS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5561D1D2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24BB462C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3F7FDA81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26EE5C82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215FB24F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F483452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00C33C3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F2A90FD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0F0908E3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8A6B12C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DE7D47A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1CF30F4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2495B1F2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1DD85853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0FC11F9A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7EE61A4D" w14:textId="77777777" w:rsidR="00DB0316" w:rsidRPr="000F03AA" w:rsidRDefault="00DB0316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DB0316" w:rsidRPr="000F03AA" w14:paraId="1ADBFFCA" w14:textId="77777777" w:rsidTr="00255B03">
        <w:trPr>
          <w:gridAfter w:val="6"/>
          <w:wAfter w:w="736" w:type="pct"/>
          <w:trHeight w:val="417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030828A5" w14:textId="77777777" w:rsidR="00DB0316" w:rsidRDefault="00DB0316" w:rsidP="00DB031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Knowledge of the nature, extent, probability and mitigations of the material risks facing MPS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6B0BFA6F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459372E1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44AB0A90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70C11492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3A3F1236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0AA6E1F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54F6032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12A3C34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1C5448CC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8796C89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545A6FA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C238B2E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6A9F2CB0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778258FD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5E9CE82E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448419BB" w14:textId="77777777" w:rsidR="00DB0316" w:rsidRPr="000F03AA" w:rsidRDefault="00DB0316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DB0316" w:rsidRPr="000F03AA" w14:paraId="22DC59E7" w14:textId="77777777" w:rsidTr="00255B03">
        <w:trPr>
          <w:gridAfter w:val="6"/>
          <w:wAfter w:w="736" w:type="pct"/>
          <w:trHeight w:val="417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04F0AE98" w14:textId="77777777" w:rsidR="00DB0316" w:rsidRDefault="00DB0316" w:rsidP="007246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Knowledge of</w:t>
            </w:r>
            <w:r w:rsidR="004E048E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internal audit function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in order to approve programme of audit work and adequately monitor the effectiveness of the audits undertaken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2066B844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1FB7C147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677E7996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7A0B638E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21F7264A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184A759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914B93A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B12D33E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0C3EBE07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E0CD77A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DB3415B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0DF1853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19B500F2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4FF200C1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1213D8D6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1E7252BA" w14:textId="77777777" w:rsidR="00DB0316" w:rsidRPr="000F03AA" w:rsidRDefault="00DB0316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DB0316" w:rsidRPr="000F03AA" w14:paraId="03AF70B7" w14:textId="77777777" w:rsidTr="00255B03">
        <w:trPr>
          <w:gridAfter w:val="6"/>
          <w:wAfter w:w="736" w:type="pct"/>
          <w:trHeight w:val="417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7A71AC76" w14:textId="77777777" w:rsidR="00DB0316" w:rsidRDefault="00DB0316" w:rsidP="007246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Knowl</w:t>
            </w:r>
            <w:r w:rsidR="004E048E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edge of external audit function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in order to assess their independence and effectiveness of the audit process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75F217E3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638B4464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70CBA3F1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4F5D38CE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4659122C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21B0BEE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2A5A385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77EFB08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0D715A52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0A2AB4B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B923C3C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41D7110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78872D2E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74DD2AA7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63BA4D10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7D2B5D83" w14:textId="77777777" w:rsidR="00DB0316" w:rsidRPr="000F03AA" w:rsidRDefault="00DB0316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DB0316" w:rsidRPr="000F03AA" w14:paraId="5514595C" w14:textId="77777777" w:rsidTr="00255B03">
        <w:trPr>
          <w:gridAfter w:val="6"/>
          <w:wAfter w:w="736" w:type="pct"/>
          <w:trHeight w:val="417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7C83D559" w14:textId="77777777" w:rsidR="00DB0316" w:rsidRDefault="00DB0316" w:rsidP="002F42F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lastRenderedPageBreak/>
              <w:t xml:space="preserve">Knowledge of </w:t>
            </w:r>
            <w:r w:rsidRPr="002F42F8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current regulatory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(legislation, accounting, regulatory or reporting) </w:t>
            </w:r>
            <w:r w:rsidRPr="002F42F8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requirements on MPS in UK and overseas,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</w:t>
            </w:r>
            <w:r w:rsidRPr="002F42F8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consider their appropriate application </w:t>
            </w:r>
            <w:r w:rsidRPr="002F42F8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and review management’s assessment of adherence to regulations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689CB25D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5E737D83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0FA301BB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7B860F10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60FCD87D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F0A2107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2A1FFC8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BDE6742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5E2C3361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0BBF95C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65A388F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E387C45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0804575C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2998144E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4A4FAA6F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6D4A43B5" w14:textId="77777777" w:rsidR="00DB0316" w:rsidRPr="000F03AA" w:rsidRDefault="00DB0316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4E048E" w:rsidRPr="000F03AA" w14:paraId="74DC412E" w14:textId="77777777" w:rsidTr="00255B03">
        <w:trPr>
          <w:gridAfter w:val="6"/>
          <w:wAfter w:w="736" w:type="pct"/>
          <w:trHeight w:val="417"/>
        </w:trPr>
        <w:tc>
          <w:tcPr>
            <w:tcW w:w="2227" w:type="pct"/>
            <w:shd w:val="clear" w:color="auto" w:fill="FFDF79"/>
            <w:noWrap/>
            <w:vAlign w:val="center"/>
          </w:tcPr>
          <w:p w14:paraId="08B4F9C3" w14:textId="77777777" w:rsidR="00DB0316" w:rsidRPr="00E44744" w:rsidRDefault="00DB0316" w:rsidP="007246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Skilled in ensuring adequacy and appropriateness of internal controls for financial, operational and compliance to mitigate loss 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21DE716D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6DB2364A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68D9B0F6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0266C5C8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3BBE3929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BA3B9E2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31ED15E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052DAD0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35A14B55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7D3D9C5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555FE88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F128871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75091324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78303FD7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6E0E0D5E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2C23CF81" w14:textId="77777777" w:rsidR="00DB0316" w:rsidRPr="000F03AA" w:rsidRDefault="00DB0316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4E048E" w:rsidRPr="000F03AA" w14:paraId="3ADC89A1" w14:textId="77777777" w:rsidTr="00255B03">
        <w:trPr>
          <w:gridAfter w:val="6"/>
          <w:wAfter w:w="736" w:type="pct"/>
          <w:trHeight w:val="417"/>
        </w:trPr>
        <w:tc>
          <w:tcPr>
            <w:tcW w:w="2227" w:type="pct"/>
            <w:shd w:val="clear" w:color="auto" w:fill="FFDF79"/>
            <w:noWrap/>
            <w:vAlign w:val="center"/>
          </w:tcPr>
          <w:p w14:paraId="40BD8031" w14:textId="77777777" w:rsidR="00DB0316" w:rsidRPr="00E44744" w:rsidRDefault="00DB0316" w:rsidP="000F03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Skilled in critiquing / challenging the financial reports and adequacy of the annual reports and corporate governance statements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40EBA2A8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2ACBCC1E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67626081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441D2B40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2E110FCA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F97948B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52A825E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AD8433D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35985500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001B2AC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C3049E0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38EE499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4BE4B3B3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1FCEA615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55C6351D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2FF0904C" w14:textId="77777777" w:rsidR="00DB0316" w:rsidRPr="000F03AA" w:rsidRDefault="00DB0316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DB0316" w:rsidRPr="000F03AA" w14:paraId="2AA4FDCE" w14:textId="77777777" w:rsidTr="00255B03">
        <w:trPr>
          <w:gridAfter w:val="6"/>
          <w:wAfter w:w="736" w:type="pct"/>
          <w:trHeight w:val="417"/>
        </w:trPr>
        <w:tc>
          <w:tcPr>
            <w:tcW w:w="2227" w:type="pct"/>
            <w:shd w:val="clear" w:color="auto" w:fill="FFDF79"/>
            <w:noWrap/>
            <w:vAlign w:val="center"/>
          </w:tcPr>
          <w:p w14:paraId="3998AD0C" w14:textId="77777777" w:rsidR="00DB0316" w:rsidRPr="00E44744" w:rsidRDefault="00DB0316" w:rsidP="000F03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Skilled in providing oversight on MPS procedures for preventing and protecting financial crime 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31336ABF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1C92DC82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492226C4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3E36083E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39E70099" w14:textId="77777777" w:rsidR="00DB0316" w:rsidRDefault="00DB0316" w:rsidP="00DB0316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E0ED1C2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991FA0F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032F196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3D6ABCB1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2D5AACB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A060377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3BFBE46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1DF37FAA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21755688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2D85549B" w14:textId="77777777" w:rsidR="00DB0316" w:rsidRPr="000F03AA" w:rsidRDefault="00DB0316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6F0B96CC" w14:textId="77777777" w:rsidR="00DB0316" w:rsidRPr="000F03AA" w:rsidRDefault="00DB0316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902443" w:rsidRPr="000F03AA" w14:paraId="1BB18847" w14:textId="77777777" w:rsidTr="00255B03">
        <w:trPr>
          <w:gridAfter w:val="6"/>
          <w:wAfter w:w="736" w:type="pct"/>
          <w:trHeight w:val="417"/>
        </w:trPr>
        <w:tc>
          <w:tcPr>
            <w:tcW w:w="2227" w:type="pct"/>
            <w:shd w:val="clear" w:color="auto" w:fill="C2D69B" w:themeFill="accent3" w:themeFillTint="99"/>
            <w:noWrap/>
            <w:vAlign w:val="center"/>
          </w:tcPr>
          <w:p w14:paraId="16A99EAE" w14:textId="77777777" w:rsidR="00902443" w:rsidRDefault="00902443" w:rsidP="00FE32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Recent and relevant financial experience / accountancy qualifi</w:t>
            </w:r>
            <w:r w:rsidR="009271A2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cation (at least one NED on the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Committee)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043940B2" w14:textId="77777777" w:rsidR="00902443" w:rsidRPr="000F03AA" w:rsidRDefault="0090244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2373AB15" w14:textId="77777777" w:rsidR="00902443" w:rsidRPr="000F03AA" w:rsidRDefault="0090244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277703DF" w14:textId="77777777" w:rsidR="00902443" w:rsidRPr="000F03AA" w:rsidRDefault="0090244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1BDC412E" w14:textId="77777777" w:rsidR="00902443" w:rsidRPr="003C01E5" w:rsidRDefault="00790BB5" w:rsidP="009576AE">
            <w:pPr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790BB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6BBD39E8" w14:textId="77777777" w:rsidR="00902443" w:rsidRPr="003C01E5" w:rsidRDefault="00902443" w:rsidP="009576AE">
            <w:pPr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5635BF6" w14:textId="77777777" w:rsidR="00902443" w:rsidRPr="000F03AA" w:rsidRDefault="0090244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FCBCEBF" w14:textId="77777777" w:rsidR="00902443" w:rsidRPr="000F03AA" w:rsidRDefault="0090244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8C7622F" w14:textId="77777777" w:rsidR="00902443" w:rsidRPr="000F03AA" w:rsidRDefault="0090244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040E7507" w14:textId="77777777" w:rsidR="00902443" w:rsidRPr="000F03AA" w:rsidRDefault="0090244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9AC39C0" w14:textId="77777777" w:rsidR="00902443" w:rsidRPr="000F03AA" w:rsidRDefault="0090244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F305B09" w14:textId="77777777" w:rsidR="00902443" w:rsidRPr="000F03AA" w:rsidRDefault="0090244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D212B68" w14:textId="77777777" w:rsidR="00902443" w:rsidRPr="000F03AA" w:rsidRDefault="0090244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1C8B0508" w14:textId="77777777" w:rsidR="00902443" w:rsidRPr="000F03AA" w:rsidRDefault="0090244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1C4CCBFD" w14:textId="77777777" w:rsidR="00902443" w:rsidRPr="000F03AA" w:rsidRDefault="0090244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493A78B5" w14:textId="77777777" w:rsidR="00902443" w:rsidRPr="000F03AA" w:rsidRDefault="0090244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6335A2C0" w14:textId="77777777" w:rsidR="00902443" w:rsidRPr="000F03AA" w:rsidRDefault="0090244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55B03" w:rsidRPr="000F03AA" w14:paraId="22B55D69" w14:textId="77777777" w:rsidTr="00255B03">
        <w:trPr>
          <w:gridAfter w:val="6"/>
          <w:wAfter w:w="736" w:type="pct"/>
          <w:trHeight w:val="417"/>
        </w:trPr>
        <w:tc>
          <w:tcPr>
            <w:tcW w:w="2227" w:type="pct"/>
            <w:shd w:val="clear" w:color="auto" w:fill="C2D69B" w:themeFill="accent3" w:themeFillTint="99"/>
            <w:noWrap/>
            <w:vAlign w:val="center"/>
          </w:tcPr>
          <w:p w14:paraId="04C5CE2F" w14:textId="77777777" w:rsidR="00255B03" w:rsidRDefault="00255B03" w:rsidP="00FE32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Experience in identifying, selecting and appointing appropriate external auditors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33839201" w14:textId="77777777" w:rsidR="00255B03" w:rsidRPr="000F03AA" w:rsidRDefault="00255B0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5984FB4A" w14:textId="77777777" w:rsidR="00255B03" w:rsidRPr="000F03AA" w:rsidRDefault="00255B0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5DA9384C" w14:textId="77777777" w:rsidR="00255B03" w:rsidRPr="000F03AA" w:rsidRDefault="00255B0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3FE1A376" w14:textId="77777777" w:rsidR="00255B03" w:rsidRDefault="00255B03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4E48B644" w14:textId="77777777" w:rsidR="00255B03" w:rsidRDefault="00255B03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68524B8" w14:textId="77777777" w:rsidR="00255B03" w:rsidRPr="000F03AA" w:rsidRDefault="00255B0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CDE94C3" w14:textId="77777777" w:rsidR="00255B03" w:rsidRPr="000F03AA" w:rsidRDefault="00255B0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1FDE897" w14:textId="77777777" w:rsidR="00255B03" w:rsidRPr="000F03AA" w:rsidRDefault="00255B0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54D0A3F9" w14:textId="77777777" w:rsidR="00255B03" w:rsidRPr="000F03AA" w:rsidRDefault="00255B0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32F6D5C" w14:textId="77777777" w:rsidR="00255B03" w:rsidRPr="000F03AA" w:rsidRDefault="00255B0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D833D76" w14:textId="77777777" w:rsidR="00255B03" w:rsidRPr="000F03AA" w:rsidRDefault="00255B0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ED9A5F2" w14:textId="77777777" w:rsidR="00255B03" w:rsidRPr="000F03AA" w:rsidRDefault="00255B0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1EBFF2BB" w14:textId="77777777" w:rsidR="00255B03" w:rsidRPr="000F03AA" w:rsidRDefault="00255B0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44CFC427" w14:textId="77777777" w:rsidR="00255B03" w:rsidRPr="000F03AA" w:rsidRDefault="00255B0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71A4EC4C" w14:textId="77777777" w:rsidR="00255B03" w:rsidRPr="000F03AA" w:rsidRDefault="00255B03" w:rsidP="00876E1E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5F0A2189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55B03" w:rsidRPr="000F03AA" w14:paraId="3B12631C" w14:textId="77777777" w:rsidTr="00255B03">
        <w:trPr>
          <w:gridAfter w:val="6"/>
          <w:wAfter w:w="736" w:type="pct"/>
          <w:trHeight w:val="81"/>
        </w:trPr>
        <w:tc>
          <w:tcPr>
            <w:tcW w:w="4264" w:type="pct"/>
            <w:gridSpan w:val="21"/>
            <w:shd w:val="clear" w:color="auto" w:fill="FFFFFF" w:themeFill="background1"/>
            <w:noWrap/>
            <w:vAlign w:val="center"/>
          </w:tcPr>
          <w:p w14:paraId="22CD5A6A" w14:textId="77777777" w:rsidR="00255B03" w:rsidRPr="004E048E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2"/>
                <w:szCs w:val="16"/>
                <w:lang w:eastAsia="en-GB"/>
              </w:rPr>
            </w:pPr>
          </w:p>
        </w:tc>
      </w:tr>
      <w:tr w:rsidR="00255B03" w:rsidRPr="000F03AA" w14:paraId="46E9DA27" w14:textId="77777777" w:rsidTr="00255B03">
        <w:trPr>
          <w:gridAfter w:val="6"/>
          <w:wAfter w:w="736" w:type="pct"/>
          <w:trHeight w:val="417"/>
        </w:trPr>
        <w:tc>
          <w:tcPr>
            <w:tcW w:w="4264" w:type="pct"/>
            <w:gridSpan w:val="21"/>
            <w:shd w:val="clear" w:color="auto" w:fill="A6A6A6" w:themeFill="background1" w:themeFillShade="A6"/>
            <w:noWrap/>
            <w:vAlign w:val="center"/>
          </w:tcPr>
          <w:p w14:paraId="4B70F167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Asset and Liability Committee</w:t>
            </w:r>
          </w:p>
        </w:tc>
      </w:tr>
      <w:tr w:rsidR="00255B03" w:rsidRPr="000F03AA" w14:paraId="799C6021" w14:textId="77777777" w:rsidTr="00255B03">
        <w:trPr>
          <w:gridAfter w:val="6"/>
          <w:wAfter w:w="736" w:type="pct"/>
          <w:trHeight w:val="417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1462ECED" w14:textId="77777777" w:rsidR="00255B03" w:rsidRPr="00E44744" w:rsidRDefault="00255B03" w:rsidP="00E67BE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Knowledge of investment strategies, investment risk and capital management strategies (including reinsurance) 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32280303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4408456F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0C5C87C6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4D15F3D" w14:textId="77777777" w:rsidR="00255B03" w:rsidRDefault="00255B03" w:rsidP="00123D3C">
            <w:pPr>
              <w:jc w:val="center"/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F3F9CB8" w14:textId="77777777" w:rsidR="00255B03" w:rsidRDefault="00255B03" w:rsidP="00123D3C">
            <w:pPr>
              <w:jc w:val="center"/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466C3ED2" w14:textId="77777777" w:rsidR="00255B03" w:rsidRDefault="00255B03" w:rsidP="00123D3C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41B2E16B" w14:textId="77777777" w:rsidR="00255B03" w:rsidRDefault="00255B03" w:rsidP="00123D3C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67EABA1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448AE63A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FAF1564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AD45A66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F9CAFF4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191706A0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2365D994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1558D81D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0C677FBE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55B03" w:rsidRPr="000F03AA" w14:paraId="61546FBB" w14:textId="77777777" w:rsidTr="00255B03">
        <w:trPr>
          <w:gridAfter w:val="6"/>
          <w:wAfter w:w="736" w:type="pct"/>
          <w:trHeight w:val="417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7F20D675" w14:textId="77777777" w:rsidR="00255B03" w:rsidRDefault="00255B03" w:rsidP="00E67BE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Knowledge of asset management classes, benchmarking allocation, Liquidity and Investment Rebalance Policy 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29D04C1A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37045631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3C6B59FC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D67FD9F" w14:textId="77777777" w:rsidR="00255B03" w:rsidRDefault="00255B03" w:rsidP="00123D3C">
            <w:pPr>
              <w:jc w:val="center"/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979BE3E" w14:textId="77777777" w:rsidR="00255B03" w:rsidRDefault="00255B03" w:rsidP="00123D3C">
            <w:pPr>
              <w:jc w:val="center"/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6E83FF34" w14:textId="77777777" w:rsidR="00255B03" w:rsidRDefault="00255B03" w:rsidP="004E048E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58E24DF3" w14:textId="77777777" w:rsidR="00255B03" w:rsidRDefault="00255B03" w:rsidP="004E048E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CD53805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1AD3025E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C0E8F04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5914F24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295E4E0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7B7A6C8B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22A3046A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62ED09FB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3AA4DA38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55B03" w:rsidRPr="000F03AA" w14:paraId="1267B205" w14:textId="77777777" w:rsidTr="00255B03">
        <w:trPr>
          <w:gridAfter w:val="6"/>
          <w:wAfter w:w="736" w:type="pct"/>
          <w:trHeight w:val="417"/>
        </w:trPr>
        <w:tc>
          <w:tcPr>
            <w:tcW w:w="2227" w:type="pct"/>
            <w:tcBorders>
              <w:bottom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7F4F4D85" w14:textId="77777777" w:rsidR="00255B03" w:rsidRPr="00E44744" w:rsidRDefault="00255B03" w:rsidP="00FE329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Knowledge of </w:t>
            </w:r>
            <w:r w:rsidR="00790BB5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technical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subscription pricing and liability reserving strategies, technical and commercial assumptions and the reinsurance policy 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205DD96F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4B6B4360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6D04A1B9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5BD2CF7" w14:textId="77777777" w:rsidR="00255B03" w:rsidRDefault="00255B03" w:rsidP="00123D3C">
            <w:pPr>
              <w:jc w:val="center"/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572FC30" w14:textId="77777777" w:rsidR="00255B03" w:rsidRDefault="00255B03" w:rsidP="00123D3C">
            <w:pPr>
              <w:jc w:val="center"/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47418BF6" w14:textId="77777777" w:rsidR="00255B03" w:rsidRDefault="00255B03" w:rsidP="00123D3C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38A343FE" w14:textId="77777777" w:rsidR="00255B03" w:rsidRDefault="00255B03" w:rsidP="00123D3C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A744921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0A26595F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C3F57F1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51DAEDD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ECA26ED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2C445FB7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5618AEA5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0BF0CE81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302EE72F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55B03" w:rsidRPr="000F03AA" w14:paraId="2BF4D9AA" w14:textId="77777777" w:rsidTr="00255B03">
        <w:trPr>
          <w:gridAfter w:val="6"/>
          <w:wAfter w:w="736" w:type="pct"/>
          <w:trHeight w:val="417"/>
        </w:trPr>
        <w:tc>
          <w:tcPr>
            <w:tcW w:w="2227" w:type="pct"/>
            <w:tcBorders>
              <w:top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2F252948" w14:textId="77777777" w:rsidR="00255B03" w:rsidRDefault="00255B03" w:rsidP="00123D3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Knowledge of balance sheet capital management to meet future claims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3FAD833A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7E901A43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794C8681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7D100F9" w14:textId="77777777" w:rsidR="00255B03" w:rsidRDefault="00255B03" w:rsidP="00123D3C">
            <w:pPr>
              <w:jc w:val="center"/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81EF88A" w14:textId="77777777" w:rsidR="00255B03" w:rsidRDefault="00255B03" w:rsidP="00123D3C">
            <w:pPr>
              <w:jc w:val="center"/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5731CD27" w14:textId="77777777" w:rsidR="00255B03" w:rsidRDefault="00255B03" w:rsidP="004E048E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2C98374C" w14:textId="77777777" w:rsidR="00255B03" w:rsidRDefault="00255B03" w:rsidP="004E048E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68E2830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76A8A183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E4903E5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22731D9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4B01A84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72F5F4C5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60BC19F5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2B3CB787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5359829E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55B03" w:rsidRPr="000F03AA" w14:paraId="36E5BAEE" w14:textId="77777777" w:rsidTr="00255B03">
        <w:trPr>
          <w:gridAfter w:val="6"/>
          <w:wAfter w:w="736" w:type="pct"/>
          <w:trHeight w:val="393"/>
        </w:trPr>
        <w:tc>
          <w:tcPr>
            <w:tcW w:w="2227" w:type="pct"/>
            <w:shd w:val="clear" w:color="auto" w:fill="FFDF79"/>
            <w:noWrap/>
            <w:vAlign w:val="center"/>
            <w:hideMark/>
          </w:tcPr>
          <w:p w14:paraId="6B4F28AB" w14:textId="77777777" w:rsidR="00255B03" w:rsidRPr="00E44744" w:rsidRDefault="00255B03" w:rsidP="00936C8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Skilled in overseeing and managing the performance of the investment managers and monitoring their adherence to investment terms and standards 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  <w:hideMark/>
          </w:tcPr>
          <w:p w14:paraId="56D82720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3D61CBF8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  <w:hideMark/>
          </w:tcPr>
          <w:p w14:paraId="6BDABEA9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1D143DE" w14:textId="77777777" w:rsidR="00255B03" w:rsidRDefault="00255B03" w:rsidP="00123D3C">
            <w:pPr>
              <w:jc w:val="center"/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42579D6" w14:textId="77777777" w:rsidR="00255B03" w:rsidRDefault="00255B03" w:rsidP="00123D3C">
            <w:pPr>
              <w:jc w:val="center"/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  <w:hideMark/>
          </w:tcPr>
          <w:p w14:paraId="7CBFC694" w14:textId="77777777" w:rsidR="00255B03" w:rsidRDefault="00255B03" w:rsidP="004E048E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  <w:hideMark/>
          </w:tcPr>
          <w:p w14:paraId="643212AD" w14:textId="77777777" w:rsidR="00255B03" w:rsidRDefault="00255B03" w:rsidP="004E048E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  <w:hideMark/>
          </w:tcPr>
          <w:p w14:paraId="70035AE0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4BC23005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  <w:hideMark/>
          </w:tcPr>
          <w:p w14:paraId="73B91857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  <w:hideMark/>
          </w:tcPr>
          <w:p w14:paraId="1EE7AA5C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  <w:hideMark/>
          </w:tcPr>
          <w:p w14:paraId="387F3C80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440D35E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5F980F5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  <w:hideMark/>
          </w:tcPr>
          <w:p w14:paraId="0FD51F9B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7E2A46A9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55B03" w:rsidRPr="000F03AA" w14:paraId="2C1C4168" w14:textId="77777777" w:rsidTr="00255B03">
        <w:trPr>
          <w:gridAfter w:val="6"/>
          <w:wAfter w:w="736" w:type="pct"/>
          <w:trHeight w:val="393"/>
        </w:trPr>
        <w:tc>
          <w:tcPr>
            <w:tcW w:w="2227" w:type="pct"/>
            <w:shd w:val="clear" w:color="auto" w:fill="C2D69B" w:themeFill="accent3" w:themeFillTint="99"/>
            <w:noWrap/>
            <w:vAlign w:val="center"/>
          </w:tcPr>
          <w:p w14:paraId="264107EA" w14:textId="77777777" w:rsidR="00255B03" w:rsidRDefault="00255B03" w:rsidP="00123D3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Experience in identifying, selecting and appointing appropriate investment managers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27D9727A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5C097D52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7319AC2C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AEEF7B7" w14:textId="77777777" w:rsidR="00255B03" w:rsidRDefault="00255B03" w:rsidP="00123D3C">
            <w:pPr>
              <w:jc w:val="center"/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CA1F853" w14:textId="77777777" w:rsidR="00255B03" w:rsidRDefault="00255B03" w:rsidP="00123D3C">
            <w:pPr>
              <w:jc w:val="center"/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6CC087FA" w14:textId="77777777" w:rsidR="00255B03" w:rsidRDefault="00255B03" w:rsidP="00123D3C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312D7D87" w14:textId="77777777" w:rsidR="00255B03" w:rsidRDefault="00255B03" w:rsidP="00123D3C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93579B0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" w:type="pct"/>
            <w:gridSpan w:val="3"/>
            <w:shd w:val="clear" w:color="auto" w:fill="D9D9D9" w:themeFill="background1" w:themeFillShade="D9"/>
            <w:vAlign w:val="center"/>
          </w:tcPr>
          <w:p w14:paraId="538A2004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4FB1370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F25B5A8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4B6E58B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3790D479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4A33EAAA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44BE6B40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58255AE1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55B03" w:rsidRPr="000F03AA" w14:paraId="2CC41C5E" w14:textId="77777777" w:rsidTr="00255B03">
        <w:trPr>
          <w:trHeight w:val="141"/>
        </w:trPr>
        <w:tc>
          <w:tcPr>
            <w:tcW w:w="4264" w:type="pct"/>
            <w:gridSpan w:val="21"/>
            <w:shd w:val="clear" w:color="auto" w:fill="A6A6A6" w:themeFill="background1" w:themeFillShade="A6"/>
            <w:vAlign w:val="center"/>
          </w:tcPr>
          <w:p w14:paraId="5305FA30" w14:textId="77777777" w:rsidR="00255B03" w:rsidRPr="003D1395" w:rsidRDefault="00255B03" w:rsidP="00B07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Management Oversight Committee</w:t>
            </w:r>
          </w:p>
        </w:tc>
        <w:tc>
          <w:tcPr>
            <w:tcW w:w="124" w:type="pct"/>
          </w:tcPr>
          <w:p w14:paraId="275BE140" w14:textId="77777777" w:rsidR="00255B03" w:rsidRPr="000F03AA" w:rsidRDefault="00255B03"/>
        </w:tc>
        <w:tc>
          <w:tcPr>
            <w:tcW w:w="124" w:type="pct"/>
          </w:tcPr>
          <w:p w14:paraId="0ADD179D" w14:textId="77777777" w:rsidR="00255B03" w:rsidRPr="000F03AA" w:rsidRDefault="00255B03"/>
        </w:tc>
        <w:tc>
          <w:tcPr>
            <w:tcW w:w="124" w:type="pct"/>
          </w:tcPr>
          <w:p w14:paraId="5EDFA0D3" w14:textId="77777777" w:rsidR="00255B03" w:rsidRPr="000F03AA" w:rsidRDefault="00255B03"/>
        </w:tc>
        <w:tc>
          <w:tcPr>
            <w:tcW w:w="124" w:type="pct"/>
          </w:tcPr>
          <w:p w14:paraId="4429A0BC" w14:textId="77777777" w:rsidR="00255B03" w:rsidRPr="000F03AA" w:rsidRDefault="00255B03"/>
        </w:tc>
        <w:tc>
          <w:tcPr>
            <w:tcW w:w="124" w:type="pct"/>
            <w:vAlign w:val="center"/>
          </w:tcPr>
          <w:p w14:paraId="0C081D39" w14:textId="77777777" w:rsidR="00255B03" w:rsidRPr="003C01E5" w:rsidRDefault="00255B03" w:rsidP="00123D3C">
            <w:pPr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" w:type="pct"/>
            <w:vAlign w:val="center"/>
          </w:tcPr>
          <w:p w14:paraId="2E55CDC7" w14:textId="77777777" w:rsidR="00255B03" w:rsidRPr="003C01E5" w:rsidRDefault="00255B03" w:rsidP="00123D3C">
            <w:pPr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55B03" w:rsidRPr="000F03AA" w14:paraId="52B4159F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7A810A27" w14:textId="77777777" w:rsidR="00255B03" w:rsidRPr="0056663C" w:rsidRDefault="00255B03" w:rsidP="0056663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56663C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Knowledge of Financial budget management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in order to approve and monitor ongoing financial performance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436F695D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2429DD8B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7524DF48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296B96E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B547693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2558F10" w14:textId="77777777" w:rsidR="00255B03" w:rsidRDefault="00255B03" w:rsidP="00123D3C">
            <w:pPr>
              <w:jc w:val="center"/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75E325A" w14:textId="77777777" w:rsidR="00255B03" w:rsidRDefault="00255B03" w:rsidP="00123D3C">
            <w:pPr>
              <w:jc w:val="center"/>
            </w:pPr>
          </w:p>
        </w:tc>
        <w:tc>
          <w:tcPr>
            <w:tcW w:w="139" w:type="pct"/>
            <w:gridSpan w:val="3"/>
            <w:shd w:val="clear" w:color="auto" w:fill="FFFFFF" w:themeFill="background1"/>
            <w:noWrap/>
            <w:vAlign w:val="center"/>
          </w:tcPr>
          <w:p w14:paraId="23BE82DC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5EAEF56E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90A700C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0797C90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FAC720F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3" w:type="pct"/>
            <w:shd w:val="clear" w:color="auto" w:fill="D9D9D9" w:themeFill="background1" w:themeFillShade="D9"/>
            <w:noWrap/>
            <w:vAlign w:val="center"/>
          </w:tcPr>
          <w:p w14:paraId="45A089CF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" w:type="pct"/>
            <w:gridSpan w:val="2"/>
            <w:shd w:val="clear" w:color="auto" w:fill="D9D9D9" w:themeFill="background1" w:themeFillShade="D9"/>
            <w:noWrap/>
            <w:vAlign w:val="center"/>
          </w:tcPr>
          <w:p w14:paraId="3AD39474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8" w:type="pct"/>
            <w:gridSpan w:val="2"/>
            <w:shd w:val="clear" w:color="auto" w:fill="D9D9D9" w:themeFill="background1" w:themeFillShade="D9"/>
            <w:noWrap/>
            <w:vAlign w:val="center"/>
          </w:tcPr>
          <w:p w14:paraId="61F30034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425BB178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55B03" w:rsidRPr="000F03AA" w14:paraId="34970A71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61AE441C" w14:textId="77777777" w:rsidR="00255B03" w:rsidRPr="0056663C" w:rsidRDefault="00255B03" w:rsidP="0056663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56663C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Knowledge of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technical risk pricing in order to review and monitor the retail prices i.e. subscription charged to members, recommended by the Asset and Liability Committee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7577CDB8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101C0D19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1F2F384C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18F88A2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A79A491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7AB0FF1" w14:textId="77777777" w:rsidR="00255B03" w:rsidRDefault="00255B03" w:rsidP="00123D3C">
            <w:pPr>
              <w:jc w:val="center"/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88F4C0C" w14:textId="77777777" w:rsidR="00255B03" w:rsidRDefault="00255B03" w:rsidP="00123D3C">
            <w:pPr>
              <w:jc w:val="center"/>
            </w:pPr>
          </w:p>
        </w:tc>
        <w:tc>
          <w:tcPr>
            <w:tcW w:w="139" w:type="pct"/>
            <w:gridSpan w:val="3"/>
            <w:shd w:val="clear" w:color="auto" w:fill="FFFFFF" w:themeFill="background1"/>
            <w:noWrap/>
            <w:vAlign w:val="center"/>
          </w:tcPr>
          <w:p w14:paraId="4C652460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5F3163AB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4C98D70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343ADE5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6730A7A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3" w:type="pct"/>
            <w:shd w:val="clear" w:color="auto" w:fill="D9D9D9" w:themeFill="background1" w:themeFillShade="D9"/>
            <w:noWrap/>
            <w:vAlign w:val="center"/>
          </w:tcPr>
          <w:p w14:paraId="5665AD74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" w:type="pct"/>
            <w:gridSpan w:val="2"/>
            <w:shd w:val="clear" w:color="auto" w:fill="D9D9D9" w:themeFill="background1" w:themeFillShade="D9"/>
            <w:noWrap/>
            <w:vAlign w:val="center"/>
          </w:tcPr>
          <w:p w14:paraId="15BC31C1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8" w:type="pct"/>
            <w:gridSpan w:val="2"/>
            <w:shd w:val="clear" w:color="auto" w:fill="D9D9D9" w:themeFill="background1" w:themeFillShade="D9"/>
            <w:noWrap/>
            <w:vAlign w:val="center"/>
          </w:tcPr>
          <w:p w14:paraId="6FCD8131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39E22AF7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55B03" w:rsidRPr="000F03AA" w14:paraId="1D7FEB5C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21785A2F" w14:textId="77777777" w:rsidR="00255B03" w:rsidRPr="0056663C" w:rsidRDefault="00255B03" w:rsidP="000F03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Knowledge of the key business performance metrics to assess suitability and monitor actual performance of the corporate plan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21287B58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29109046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7B7B94D5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F09B38D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23A11F2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8CF5611" w14:textId="77777777" w:rsidR="00255B03" w:rsidRDefault="00255B03" w:rsidP="00123D3C">
            <w:pPr>
              <w:jc w:val="center"/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525AC42" w14:textId="77777777" w:rsidR="00255B03" w:rsidRDefault="00255B03" w:rsidP="00123D3C">
            <w:pPr>
              <w:jc w:val="center"/>
            </w:pPr>
          </w:p>
        </w:tc>
        <w:tc>
          <w:tcPr>
            <w:tcW w:w="139" w:type="pct"/>
            <w:gridSpan w:val="3"/>
            <w:shd w:val="clear" w:color="auto" w:fill="FFFFFF" w:themeFill="background1"/>
            <w:noWrap/>
            <w:vAlign w:val="center"/>
          </w:tcPr>
          <w:p w14:paraId="214E30E7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4FB6C7FD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22305FC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4A95C8F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0507C6A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3" w:type="pct"/>
            <w:shd w:val="clear" w:color="auto" w:fill="D9D9D9" w:themeFill="background1" w:themeFillShade="D9"/>
            <w:noWrap/>
            <w:vAlign w:val="center"/>
          </w:tcPr>
          <w:p w14:paraId="5AC1DDA0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" w:type="pct"/>
            <w:gridSpan w:val="2"/>
            <w:shd w:val="clear" w:color="auto" w:fill="D9D9D9" w:themeFill="background1" w:themeFillShade="D9"/>
            <w:noWrap/>
            <w:vAlign w:val="center"/>
          </w:tcPr>
          <w:p w14:paraId="5A602B59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8" w:type="pct"/>
            <w:gridSpan w:val="2"/>
            <w:shd w:val="clear" w:color="auto" w:fill="D9D9D9" w:themeFill="background1" w:themeFillShade="D9"/>
            <w:noWrap/>
            <w:vAlign w:val="center"/>
          </w:tcPr>
          <w:p w14:paraId="366BE893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64C610D0" w14:textId="77777777" w:rsidR="00255B03" w:rsidRPr="000F03AA" w:rsidRDefault="00255B03" w:rsidP="0098762F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90BB5" w:rsidRPr="000F03AA" w14:paraId="6E006C6D" w14:textId="77777777" w:rsidTr="008A1CCA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4F74DC32" w14:textId="77777777" w:rsidR="00790BB5" w:rsidRDefault="00790BB5" w:rsidP="00790BB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Knowledge of the management of large internal projects, including IT development projects and major change projects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513057B5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46A1AA06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430477E7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D78BCF3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BF57C90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3B86253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3A0E4F7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auto"/>
            <w:noWrap/>
            <w:vAlign w:val="center"/>
          </w:tcPr>
          <w:p w14:paraId="2E7CB744" w14:textId="77777777" w:rsidR="00790BB5" w:rsidRPr="00DF68E8" w:rsidRDefault="00790BB5" w:rsidP="00937815">
            <w:pPr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790BB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12" w:type="pct"/>
            <w:gridSpan w:val="2"/>
            <w:vAlign w:val="center"/>
          </w:tcPr>
          <w:p w14:paraId="018F75E3" w14:textId="77777777" w:rsidR="00790BB5" w:rsidRPr="00DF68E8" w:rsidRDefault="00790BB5" w:rsidP="00937815">
            <w:pPr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790BB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7AA3232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75492DD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2930079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3C861A24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7FA5BE67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148661C4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026168DC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55B03" w:rsidRPr="000F03AA" w14:paraId="18CB522D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FFE389"/>
            <w:noWrap/>
            <w:vAlign w:val="center"/>
          </w:tcPr>
          <w:p w14:paraId="214C8DC2" w14:textId="77777777" w:rsidR="00255B03" w:rsidRPr="0056663C" w:rsidRDefault="00255B03" w:rsidP="0056663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Skilled in overseeing and monitoring business performance, major business projects, major investments and capital expenditure to ensure the robust governance of spend and delivery outcomes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10E71522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0C228209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22E34E17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5379263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FF7A520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A868934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64A5BCB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auto"/>
            <w:noWrap/>
            <w:vAlign w:val="center"/>
          </w:tcPr>
          <w:p w14:paraId="5DB054A9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12" w:type="pct"/>
            <w:gridSpan w:val="2"/>
            <w:vAlign w:val="center"/>
          </w:tcPr>
          <w:p w14:paraId="50ACB009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BEA1E8B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FA262BC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3B28E88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7412AEC7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0BC7EB0D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0F9114C9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4BD72C4D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55B03" w:rsidRPr="000F03AA" w14:paraId="481EDF56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C2D69B" w:themeFill="accent3" w:themeFillTint="99"/>
            <w:noWrap/>
            <w:vAlign w:val="center"/>
          </w:tcPr>
          <w:p w14:paraId="4B1C57C5" w14:textId="77777777" w:rsidR="00255B03" w:rsidRPr="0056663C" w:rsidRDefault="00255B03" w:rsidP="00123D3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Experienced in overseeing high-value contracts, legal partnerships, granting of securities over assets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19600F17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152F95C3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5D911A5A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2ACD799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BD7C772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00B4978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C0E2708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auto"/>
            <w:noWrap/>
            <w:vAlign w:val="center"/>
          </w:tcPr>
          <w:p w14:paraId="55FC3EB7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12" w:type="pct"/>
            <w:gridSpan w:val="2"/>
            <w:vAlign w:val="center"/>
          </w:tcPr>
          <w:p w14:paraId="48FECDAB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224F521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EDCF54B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DBAECED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17202029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467E7320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7C136F3C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109F3E1F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55B03" w:rsidRPr="000F03AA" w14:paraId="12B94766" w14:textId="77777777" w:rsidTr="00255B03">
        <w:trPr>
          <w:gridAfter w:val="6"/>
          <w:wAfter w:w="736" w:type="pct"/>
          <w:trHeight w:val="480"/>
        </w:trPr>
        <w:tc>
          <w:tcPr>
            <w:tcW w:w="4264" w:type="pct"/>
            <w:gridSpan w:val="21"/>
            <w:shd w:val="clear" w:color="auto" w:fill="A6A6A6" w:themeFill="background1" w:themeFillShade="A6"/>
            <w:noWrap/>
            <w:vAlign w:val="center"/>
          </w:tcPr>
          <w:p w14:paraId="636AC94C" w14:textId="77777777" w:rsidR="00255B03" w:rsidRPr="00B07AC2" w:rsidRDefault="00255B03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07AC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lastRenderedPageBreak/>
              <w:t>Remuneration and Nominations Committee</w:t>
            </w:r>
          </w:p>
        </w:tc>
      </w:tr>
      <w:tr w:rsidR="00255B03" w:rsidRPr="000F03AA" w14:paraId="45778485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8DB3E2" w:themeFill="text2" w:themeFillTint="66"/>
            <w:noWrap/>
            <w:vAlign w:val="center"/>
          </w:tcPr>
          <w:p w14:paraId="68F4BEE9" w14:textId="77777777" w:rsidR="00255B03" w:rsidRPr="0056663C" w:rsidRDefault="00255B03" w:rsidP="00DC0D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Knowledge of considerations to build a diverse Council membership and composition of subsidiary boards and sub-committees comprising the required skills, knowledge and experiences required 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104CECF4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722B0D3A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78A759EF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7322D5F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B035F9D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B77FC86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51F8F80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66D0EDDA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7841A18E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08DFAADE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07AAB7E1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B5CF32D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77E9E747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635A7824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20BFE5E8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7CE3AD2D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55B03" w:rsidRPr="000F03AA" w14:paraId="305655F3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8DB3E2" w:themeFill="text2" w:themeFillTint="66"/>
            <w:noWrap/>
            <w:vAlign w:val="center"/>
          </w:tcPr>
          <w:p w14:paraId="1523AED2" w14:textId="77777777" w:rsidR="00255B03" w:rsidRPr="0056663C" w:rsidRDefault="00255B03" w:rsidP="0093781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Knowledge of recruitment best practice including diversity, equal opportunities legislation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14F6733A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4DAF2FBE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54C7644A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05F43AD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1B400B0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18B4CA9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808C6C2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33BDF8BD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19FC3298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7B2DB314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233BF982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EDFB1CA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76B469BF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0249BCA7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61D6F44F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0E6769E6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55B03" w:rsidRPr="000F03AA" w14:paraId="7284F831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FFE389"/>
            <w:noWrap/>
            <w:vAlign w:val="center"/>
          </w:tcPr>
          <w:p w14:paraId="7B2C2A5C" w14:textId="77777777" w:rsidR="00255B03" w:rsidRPr="0056663C" w:rsidRDefault="00255B03" w:rsidP="00123D3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Skilled in recruiting practices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6861F884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1187CBC7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21A15362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5089205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4D6A53A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98D92FC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74CC38E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56F72202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61E097A4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00266485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5BEAF20B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F5484E2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487AC81D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295BDD99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445100FC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729FAB8B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255B03" w:rsidRPr="000F03AA" w14:paraId="0FD1E5F5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FFE389"/>
            <w:noWrap/>
            <w:vAlign w:val="center"/>
          </w:tcPr>
          <w:p w14:paraId="72326403" w14:textId="77777777" w:rsidR="00255B03" w:rsidRPr="0056663C" w:rsidRDefault="00255B03" w:rsidP="00F278E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Skilled in </w:t>
            </w:r>
            <w:r w:rsidR="00F278E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assessing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the performance of Council (as a collective and as individuals) and identifying the capability gaps to inform the training requirements and plans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1233BCCE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65DEEC19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34145CF0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C3E4592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BFFB879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C54C9E8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BD29BDA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69B1DA7A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671763D1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075D3F8B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1F5B5937" w14:textId="77777777" w:rsidR="00255B03" w:rsidRDefault="00255B03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E7A62C8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082C574B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281D9A69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12B97089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6F1EE8B2" w14:textId="77777777" w:rsidR="00255B03" w:rsidRPr="000F03AA" w:rsidRDefault="00255B03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278E0" w:rsidRPr="000F03AA" w14:paraId="75218BAA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FFE389"/>
            <w:noWrap/>
            <w:vAlign w:val="center"/>
          </w:tcPr>
          <w:p w14:paraId="026FB40F" w14:textId="77777777" w:rsidR="00F278E0" w:rsidRDefault="00F278E0" w:rsidP="00F278E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Skilled in succession planning for Council, CEO and senior leaders ensuring the presence of capabilities required to delivery the business strategy today and in the future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125B64F1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573C1B96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37FB3683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B672472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EEDEF9E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90E882C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D8AB88F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1DD6FEBF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5BF7B316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489E3AB1" w14:textId="77777777" w:rsidR="00F278E0" w:rsidRDefault="00F278E0" w:rsidP="009576AE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793E811F" w14:textId="77777777" w:rsidR="00F278E0" w:rsidRDefault="00F278E0" w:rsidP="009576AE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DEC86E2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25FF796D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54E1FEAC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7CF3EF89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35395FEB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278E0" w:rsidRPr="000F03AA" w14:paraId="37DC7636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22F7FC09" w14:textId="77777777" w:rsidR="00F278E0" w:rsidRDefault="00F278E0" w:rsidP="00AE096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Knowledge of UK Corporate Governance Code and market best practice to determine the remuneration of directors, plus other relevant codes, laws and regulations 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1E8CA1BD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1425998B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018020B9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B7407AA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D56CFEA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6730A1B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6577195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03AD3311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268CCB69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02644E22" w14:textId="77777777" w:rsidR="00F278E0" w:rsidRDefault="00F278E0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5D16150D" w14:textId="77777777" w:rsidR="00F278E0" w:rsidRDefault="00F278E0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33279BE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327530F0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54E32288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28B08FDA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188B6CDF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278E0" w:rsidRPr="000F03AA" w14:paraId="4C748C6E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1FAFCF3C" w14:textId="77777777" w:rsidR="00F278E0" w:rsidRPr="0056663C" w:rsidRDefault="00F278E0" w:rsidP="00123D3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Knowledge of MPS remuneration and reward strategy and policy (TRP) 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36ADED91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497F9311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3E39C047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8923A1C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CCC279A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F181A36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AB2463C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343D439D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2D57B361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188965CF" w14:textId="77777777" w:rsidR="00F278E0" w:rsidRDefault="00F278E0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6A137A4F" w14:textId="77777777" w:rsidR="00F278E0" w:rsidRDefault="00F278E0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84806D0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4E3A126F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24E200FF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0D4CF3DB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5C33DB65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278E0" w:rsidRPr="000F03AA" w14:paraId="6CB6DA45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2E3C3087" w14:textId="77777777" w:rsidR="00F278E0" w:rsidRDefault="00F278E0" w:rsidP="00DC0D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Knowledge of Pension Schemes (Define benefit and Contribution), 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561E7958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6A21F7B0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34280928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EF424C9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7342A61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74AB2B7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7B6EA79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3F4E158C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319D83C9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02D58D64" w14:textId="77777777" w:rsidR="00F278E0" w:rsidRDefault="00F278E0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559DE0DC" w14:textId="77777777" w:rsidR="00F278E0" w:rsidRDefault="00F278E0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4C84638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323AAB36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0FC6FA6E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5F821032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1BB43DE2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278E0" w:rsidRPr="000F03AA" w14:paraId="32D7DA74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3DE07ABC" w14:textId="77777777" w:rsidR="00F278E0" w:rsidRDefault="00F278E0" w:rsidP="00DC0D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Knowledge of MPS Performance target setting and assessment policy to inform awards for CEO and Executive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67D146E6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6299E621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451E7480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C683DA6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611D968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5CE24EC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06B7025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34B9D90A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58C824CE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1138E5D1" w14:textId="77777777" w:rsidR="00F278E0" w:rsidRDefault="00F278E0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4ED53F2B" w14:textId="77777777" w:rsidR="00F278E0" w:rsidRDefault="00F278E0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5E52FF5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246DB3F4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1F9D6B56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752B97F5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24718A6A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90BB5" w:rsidRPr="000F03AA" w14:paraId="79A93A55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1DE454BB" w14:textId="77777777" w:rsidR="00790BB5" w:rsidRDefault="00790BB5" w:rsidP="00DC0D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Knowledge of skills required for Council and subsidiary boards and sub-committees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5B935370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3DF4D0CC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73FAE52B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B369243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796070D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1998185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90AB8A4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7B5A1F93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4B7A4CDA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2DE32A2D" w14:textId="77777777" w:rsidR="00790BB5" w:rsidRPr="003C01E5" w:rsidRDefault="00790BB5" w:rsidP="009576AE">
            <w:pPr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790BB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7ED5D829" w14:textId="77777777" w:rsidR="00790BB5" w:rsidRPr="003C01E5" w:rsidRDefault="00790BB5" w:rsidP="009576AE">
            <w:pPr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790BB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CD29899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66352196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1F566903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510752AF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20FBDF10" w14:textId="77777777" w:rsidR="00790BB5" w:rsidRPr="000F03AA" w:rsidRDefault="00790BB5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278E0" w:rsidRPr="000F03AA" w14:paraId="2E73F06C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FFE389"/>
            <w:noWrap/>
            <w:vAlign w:val="center"/>
          </w:tcPr>
          <w:p w14:paraId="6C2FC0B1" w14:textId="77777777" w:rsidR="00F278E0" w:rsidRPr="0056663C" w:rsidRDefault="00F278E0" w:rsidP="00DC0D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Skilled in reviewing pay benchmarking data to determine the appropriate remunerations arrangements for the Chief Executive, and Non-Executive members of Council and its sub-committees and boards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7F004334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481F1A4D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6C40D1EA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DC1E4F6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2797B05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9715DDC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D2AA21B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2799AFD7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4DFB9044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46DA4D48" w14:textId="77777777" w:rsidR="00F278E0" w:rsidRDefault="00F278E0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3FD38F0F" w14:textId="77777777" w:rsidR="00F278E0" w:rsidRDefault="00F278E0" w:rsidP="00937815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2240C5D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2BFB246D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5CB13EDD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16C59940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3594F47B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8A1CCA" w:rsidRPr="000F03AA" w14:paraId="368EC9AB" w14:textId="77777777" w:rsidTr="008A1CCA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FFE389"/>
            <w:noWrap/>
            <w:vAlign w:val="center"/>
          </w:tcPr>
          <w:p w14:paraId="30DB1BA1" w14:textId="77777777" w:rsidR="00EB75F7" w:rsidRDefault="00EB75F7" w:rsidP="00DC0D2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Skilled in assessing skill mix and comparing to a desired position and making changes as necessary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60BFB266" w14:textId="77777777" w:rsidR="00EB75F7" w:rsidRPr="000F03AA" w:rsidRDefault="00EB75F7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352BD4C3" w14:textId="77777777" w:rsidR="00EB75F7" w:rsidRPr="000F03AA" w:rsidRDefault="00EB75F7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6D8E1148" w14:textId="77777777" w:rsidR="00EB75F7" w:rsidRPr="000F03AA" w:rsidRDefault="00EB75F7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E39EC31" w14:textId="77777777" w:rsidR="00EB75F7" w:rsidRPr="000F03AA" w:rsidRDefault="00EB75F7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F270984" w14:textId="77777777" w:rsidR="00EB75F7" w:rsidRPr="000F03AA" w:rsidRDefault="00EB75F7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7A4CE37" w14:textId="77777777" w:rsidR="00EB75F7" w:rsidRPr="000F03AA" w:rsidRDefault="00EB75F7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887F5D6" w14:textId="77777777" w:rsidR="00EB75F7" w:rsidRPr="000F03AA" w:rsidRDefault="00EB75F7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52EEF51F" w14:textId="77777777" w:rsidR="00EB75F7" w:rsidRPr="000F03AA" w:rsidRDefault="00EB75F7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343E930F" w14:textId="77777777" w:rsidR="00EB75F7" w:rsidRPr="000F03AA" w:rsidRDefault="00EB75F7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5F9C7665" w14:textId="77777777" w:rsidR="00EB75F7" w:rsidRPr="00DF68E8" w:rsidRDefault="00EB75F7" w:rsidP="00937815">
            <w:pPr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EB75F7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1076F9A1" w14:textId="77777777" w:rsidR="00EB75F7" w:rsidRPr="00DF68E8" w:rsidRDefault="00EB75F7" w:rsidP="00937815">
            <w:pPr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 w:rsidRPr="00EB75F7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F534F69" w14:textId="77777777" w:rsidR="00EB75F7" w:rsidRPr="000F03AA" w:rsidRDefault="00EB75F7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7A1A3247" w14:textId="77777777" w:rsidR="00EB75F7" w:rsidRPr="000F03AA" w:rsidRDefault="00EB75F7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5A07C467" w14:textId="77777777" w:rsidR="00EB75F7" w:rsidRPr="000F03AA" w:rsidRDefault="00EB75F7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770691EF" w14:textId="77777777" w:rsidR="00EB75F7" w:rsidRPr="000F03AA" w:rsidRDefault="00EB75F7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52197AF4" w14:textId="77777777" w:rsidR="00EB75F7" w:rsidRPr="000F03AA" w:rsidRDefault="00EB75F7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278E0" w:rsidRPr="000F03AA" w14:paraId="4C0F25B0" w14:textId="77777777" w:rsidTr="00255B03">
        <w:trPr>
          <w:gridAfter w:val="6"/>
          <w:wAfter w:w="736" w:type="pct"/>
          <w:trHeight w:val="285"/>
        </w:trPr>
        <w:tc>
          <w:tcPr>
            <w:tcW w:w="4264" w:type="pct"/>
            <w:gridSpan w:val="21"/>
            <w:shd w:val="clear" w:color="auto" w:fill="A6A6A6" w:themeFill="background1" w:themeFillShade="A6"/>
            <w:noWrap/>
            <w:vAlign w:val="center"/>
          </w:tcPr>
          <w:p w14:paraId="1EDB7599" w14:textId="77777777" w:rsidR="00F278E0" w:rsidRDefault="00F278E0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Medical</w:t>
            </w:r>
            <w:r w:rsidRPr="00B07AC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Committee</w:t>
            </w:r>
          </w:p>
          <w:p w14:paraId="643B2534" w14:textId="77777777" w:rsidR="00F71DAB" w:rsidRPr="00F71DAB" w:rsidRDefault="00F71DAB" w:rsidP="000571F1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all members of the Medical Committee will be qualified as a doctor or have technical knowledge of medicine and healthcare however, it is recognised that having</w:t>
            </w:r>
            <w:r w:rsidR="00144A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 diverse </w:t>
            </w:r>
            <w:r w:rsidR="000571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constitution of the C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ommittee</w:t>
            </w:r>
            <w:r w:rsidR="00144A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provides for balanced and informed decision making. </w:t>
            </w:r>
          </w:p>
        </w:tc>
      </w:tr>
      <w:tr w:rsidR="00F278E0" w:rsidRPr="000F03AA" w14:paraId="430AA994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7C25BD0E" w14:textId="77777777" w:rsidR="00F278E0" w:rsidRPr="00E44744" w:rsidRDefault="00F278E0" w:rsidP="00123D3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Knowledge of technical developments in medicine and their potential impact on MPS’s business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4ED2C669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07127B98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6B1C3AB3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504E5FB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7F798E4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0B119FB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53E59AB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7402EAC1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2EF4F536" w14:textId="77777777" w:rsidR="00F278E0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66FDF47" w14:textId="77777777" w:rsidR="00F278E0" w:rsidRDefault="00F278E0" w:rsidP="00937815">
            <w:pPr>
              <w:jc w:val="center"/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CD56549" w14:textId="77777777" w:rsidR="00F278E0" w:rsidRDefault="00F278E0" w:rsidP="00937815">
            <w:pPr>
              <w:jc w:val="center"/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719B67BA" w14:textId="77777777" w:rsidR="00F278E0" w:rsidRDefault="00F278E0" w:rsidP="009576AE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7" w:type="pct"/>
            <w:gridSpan w:val="2"/>
            <w:shd w:val="clear" w:color="auto" w:fill="FFFFFF" w:themeFill="background1"/>
            <w:noWrap/>
            <w:vAlign w:val="center"/>
          </w:tcPr>
          <w:p w14:paraId="71E72BF9" w14:textId="77777777" w:rsidR="00F278E0" w:rsidRDefault="00F278E0" w:rsidP="009576AE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4C8EF4C1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23506F59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5FCC7E00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278E0" w:rsidRPr="000F03AA" w14:paraId="615A2E03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0B187BF8" w14:textId="77777777" w:rsidR="00F278E0" w:rsidRPr="00E44744" w:rsidRDefault="00F278E0" w:rsidP="00123D3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Knowledge on structural changes in medical healthcare, clinical practice, healthcare regulation and legislation 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45588D78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71380D28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0E5DAC33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AA3CCF6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8FAC831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7DEDCF1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BCEB490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13F1B5D5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3AD964BA" w14:textId="77777777" w:rsidR="00F278E0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0F9FDD3" w14:textId="77777777" w:rsidR="00F278E0" w:rsidRDefault="00F278E0" w:rsidP="00937815">
            <w:pPr>
              <w:jc w:val="center"/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18B61B7" w14:textId="77777777" w:rsidR="00F278E0" w:rsidRDefault="00F278E0" w:rsidP="00937815">
            <w:pPr>
              <w:jc w:val="center"/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6B30900E" w14:textId="77777777" w:rsidR="00F278E0" w:rsidRDefault="00F278E0" w:rsidP="009576AE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7" w:type="pct"/>
            <w:gridSpan w:val="2"/>
            <w:shd w:val="clear" w:color="auto" w:fill="FFFFFF" w:themeFill="background1"/>
            <w:noWrap/>
            <w:vAlign w:val="center"/>
          </w:tcPr>
          <w:p w14:paraId="41135C7A" w14:textId="77777777" w:rsidR="00F278E0" w:rsidRDefault="00F278E0" w:rsidP="009576AE">
            <w:pPr>
              <w:jc w:val="center"/>
            </w:pPr>
            <w:r w:rsidRPr="00DF68E8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1ECF83AC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19FB1EAD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51D4875F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278E0" w:rsidRPr="000F03AA" w14:paraId="3220561A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FFE389"/>
            <w:noWrap/>
            <w:vAlign w:val="center"/>
          </w:tcPr>
          <w:p w14:paraId="5BA41582" w14:textId="77777777" w:rsidR="00F278E0" w:rsidRPr="00E44744" w:rsidRDefault="00F278E0" w:rsidP="00123D3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937815"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E389"/>
                <w:lang w:eastAsia="en-GB"/>
              </w:rPr>
              <w:t>Skilled in stakeholder engagement and member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communications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40DA160F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098D24A1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06C2EC8A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EF91883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52E4424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AF8D7F1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781219A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3FF2DDBF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6331C931" w14:textId="77777777" w:rsidR="00F278E0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80050B8" w14:textId="77777777" w:rsidR="00F278E0" w:rsidRDefault="00F278E0" w:rsidP="009576AE">
            <w:pPr>
              <w:jc w:val="center"/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F25563F" w14:textId="77777777" w:rsidR="00F278E0" w:rsidRDefault="00F278E0" w:rsidP="009576AE">
            <w:pPr>
              <w:jc w:val="center"/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266A7998" w14:textId="77777777" w:rsidR="00F278E0" w:rsidRDefault="00F278E0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7" w:type="pct"/>
            <w:gridSpan w:val="2"/>
            <w:shd w:val="clear" w:color="auto" w:fill="FFFFFF" w:themeFill="background1"/>
            <w:noWrap/>
            <w:vAlign w:val="center"/>
          </w:tcPr>
          <w:p w14:paraId="5DC7735D" w14:textId="77777777" w:rsidR="00F278E0" w:rsidRDefault="00F278E0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47A1AB00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2029EE47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03A6D404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278E0" w:rsidRPr="000F03AA" w14:paraId="3BCF4C4D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C2D69B" w:themeFill="accent3" w:themeFillTint="99"/>
            <w:noWrap/>
            <w:vAlign w:val="center"/>
          </w:tcPr>
          <w:p w14:paraId="1D93E336" w14:textId="77777777" w:rsidR="00F278E0" w:rsidRPr="00E44744" w:rsidRDefault="00F278E0" w:rsidP="00123D3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Experienced in monitoring GMC and other medical regulatory issues and interpret for MP</w:t>
            </w:r>
            <w:r w:rsidR="00EB75F7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4D805832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4FC45E3D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3B602F77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409B1E2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2FA1A25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FC9DEC6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E7429E5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0978197A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5F760448" w14:textId="77777777" w:rsidR="00F278E0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D8F2961" w14:textId="77777777" w:rsidR="00F278E0" w:rsidRDefault="00F278E0" w:rsidP="009576AE">
            <w:pPr>
              <w:jc w:val="center"/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833454F" w14:textId="77777777" w:rsidR="00F278E0" w:rsidRDefault="00F278E0" w:rsidP="009576AE">
            <w:pPr>
              <w:jc w:val="center"/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31F69DB9" w14:textId="77777777" w:rsidR="00F278E0" w:rsidRDefault="00F278E0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7" w:type="pct"/>
            <w:gridSpan w:val="2"/>
            <w:shd w:val="clear" w:color="auto" w:fill="FFFFFF" w:themeFill="background1"/>
            <w:noWrap/>
            <w:vAlign w:val="center"/>
          </w:tcPr>
          <w:p w14:paraId="5D0D9A9F" w14:textId="77777777" w:rsidR="00F278E0" w:rsidRDefault="00F278E0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6DF1AC7C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6B73125F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3894B422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278E0" w:rsidRPr="000F03AA" w14:paraId="66AD8619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C2D69B" w:themeFill="accent3" w:themeFillTint="99"/>
            <w:noWrap/>
            <w:vAlign w:val="center"/>
          </w:tcPr>
          <w:p w14:paraId="1AAEF88C" w14:textId="77777777" w:rsidR="00F278E0" w:rsidRPr="00E44744" w:rsidRDefault="00F278E0" w:rsidP="0093781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Experienced in monitoring the re-validation of MPS medical employees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4581CCC7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1F99D7CB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6BF856FE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12E3CB8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5DC2ECB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AFBF450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ED8A7B6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48A6B454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3E60D1BC" w14:textId="77777777" w:rsidR="00F278E0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35ADD42" w14:textId="77777777" w:rsidR="00F278E0" w:rsidRDefault="00F278E0" w:rsidP="009576AE">
            <w:pPr>
              <w:jc w:val="center"/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FE6FD26" w14:textId="77777777" w:rsidR="00F278E0" w:rsidRDefault="00F278E0" w:rsidP="009576AE">
            <w:pPr>
              <w:jc w:val="center"/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0B8A8249" w14:textId="77777777" w:rsidR="00F278E0" w:rsidRDefault="00F278E0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7" w:type="pct"/>
            <w:gridSpan w:val="2"/>
            <w:shd w:val="clear" w:color="auto" w:fill="FFFFFF" w:themeFill="background1"/>
            <w:noWrap/>
            <w:vAlign w:val="center"/>
          </w:tcPr>
          <w:p w14:paraId="5BB4D826" w14:textId="77777777" w:rsidR="00F278E0" w:rsidRDefault="00F278E0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43D51B65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6188D99D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5A1159C3" w14:textId="77777777" w:rsidR="00F278E0" w:rsidRPr="000F03AA" w:rsidRDefault="00F278E0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9C7EDB" w:rsidRPr="000F03AA" w14:paraId="549B738E" w14:textId="77777777" w:rsidTr="009C7EDB">
        <w:trPr>
          <w:gridAfter w:val="6"/>
          <w:wAfter w:w="736" w:type="pct"/>
          <w:trHeight w:val="370"/>
        </w:trPr>
        <w:tc>
          <w:tcPr>
            <w:tcW w:w="2227" w:type="pct"/>
            <w:shd w:val="clear" w:color="auto" w:fill="D99594" w:themeFill="accent2" w:themeFillTint="99"/>
            <w:noWrap/>
            <w:vAlign w:val="center"/>
          </w:tcPr>
          <w:p w14:paraId="29FE5B61" w14:textId="77777777" w:rsidR="009C7EDB" w:rsidRDefault="009C7EDB" w:rsidP="00EB75F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Qualified as a </w:t>
            </w:r>
            <w:r w:rsidR="00EB75F7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doctor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1E045A1A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28016453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58728590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C7AD51B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F4E46F2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9049F77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1663AC7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19E98DA8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2FEC23B3" w14:textId="77777777" w:rsidR="009C7EDB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1225050" w14:textId="77777777" w:rsidR="009C7EDB" w:rsidRDefault="009C7EDB" w:rsidP="009576AE">
            <w:pPr>
              <w:jc w:val="center"/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C6FCF12" w14:textId="77777777" w:rsidR="009C7EDB" w:rsidRDefault="009C7EDB" w:rsidP="009576AE">
            <w:pPr>
              <w:jc w:val="center"/>
            </w:pPr>
          </w:p>
        </w:tc>
        <w:tc>
          <w:tcPr>
            <w:tcW w:w="124" w:type="pct"/>
            <w:shd w:val="clear" w:color="auto" w:fill="FFFFFF" w:themeFill="background1"/>
            <w:noWrap/>
            <w:vAlign w:val="center"/>
          </w:tcPr>
          <w:p w14:paraId="1867E6B8" w14:textId="77777777" w:rsidR="009C7EDB" w:rsidRDefault="009C7EDB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7" w:type="pct"/>
            <w:gridSpan w:val="2"/>
            <w:shd w:val="clear" w:color="auto" w:fill="FFFFFF" w:themeFill="background1"/>
            <w:noWrap/>
            <w:vAlign w:val="center"/>
          </w:tcPr>
          <w:p w14:paraId="650ADA03" w14:textId="77777777" w:rsidR="009C7EDB" w:rsidRDefault="009C7EDB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19" w:type="pct"/>
            <w:gridSpan w:val="2"/>
            <w:shd w:val="clear" w:color="auto" w:fill="D9D9D9" w:themeFill="background1" w:themeFillShade="D9"/>
            <w:noWrap/>
            <w:vAlign w:val="center"/>
          </w:tcPr>
          <w:p w14:paraId="6C5A95A1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  <w:noWrap/>
            <w:vAlign w:val="center"/>
          </w:tcPr>
          <w:p w14:paraId="6A2B3AF2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178140B1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9C7EDB" w:rsidRPr="000F03AA" w14:paraId="15A113A9" w14:textId="77777777" w:rsidTr="00255B03">
        <w:trPr>
          <w:gridAfter w:val="6"/>
          <w:wAfter w:w="736" w:type="pct"/>
          <w:trHeight w:val="285"/>
        </w:trPr>
        <w:tc>
          <w:tcPr>
            <w:tcW w:w="4264" w:type="pct"/>
            <w:gridSpan w:val="21"/>
            <w:shd w:val="clear" w:color="auto" w:fill="A6A6A6" w:themeFill="background1" w:themeFillShade="A6"/>
            <w:noWrap/>
            <w:vAlign w:val="center"/>
          </w:tcPr>
          <w:p w14:paraId="6AAD03B2" w14:textId="77777777" w:rsidR="009C7EDB" w:rsidRDefault="009C7EDB" w:rsidP="0012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Dental</w:t>
            </w:r>
            <w:r w:rsidRPr="00B07AC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Committee</w:t>
            </w:r>
          </w:p>
          <w:p w14:paraId="0A73C033" w14:textId="77777777" w:rsidR="00144A14" w:rsidRPr="000F03AA" w:rsidRDefault="00144A14" w:rsidP="000571F1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Not all members of the Medical Committee will be qualified as a dentist or have technical knowledge of </w:t>
            </w:r>
            <w:r w:rsidR="000571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dentistry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healthcare however, it is recognised that having a diverse </w:t>
            </w:r>
            <w:r w:rsidR="000571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constitution of the C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ommittee provides for balanced and informed decision making.</w:t>
            </w:r>
          </w:p>
        </w:tc>
      </w:tr>
      <w:tr w:rsidR="009C7EDB" w:rsidRPr="000F03AA" w14:paraId="0831AC3B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5F7BF789" w14:textId="77777777" w:rsidR="009C7EDB" w:rsidRPr="00E44744" w:rsidRDefault="009C7EDB" w:rsidP="00EB75F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lastRenderedPageBreak/>
              <w:t xml:space="preserve">Knowledge of technical developments in </w:t>
            </w:r>
            <w:r w:rsidR="00EB75F7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dentistry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and their potential impact on MPS’s business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31D42500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329C4FDC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31B0831D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BA2C15B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DE0A763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E8246F2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6E8A4C7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060651AB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3B77CBC3" w14:textId="77777777" w:rsidR="009C7EDB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DD0CBFB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E2E5BB6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38134F3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6ED93454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noWrap/>
            <w:vAlign w:val="center"/>
          </w:tcPr>
          <w:p w14:paraId="1DB9637E" w14:textId="77777777" w:rsidR="009C7EDB" w:rsidRDefault="009C7EDB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5" w:type="pct"/>
            <w:shd w:val="clear" w:color="auto" w:fill="FFFFFF" w:themeFill="background1"/>
            <w:noWrap/>
            <w:vAlign w:val="center"/>
          </w:tcPr>
          <w:p w14:paraId="6C2A9EAE" w14:textId="77777777" w:rsidR="009C7EDB" w:rsidRDefault="009C7EDB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3A16651C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9C7EDB" w:rsidRPr="000F03AA" w14:paraId="6882BBE5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95B3D7" w:themeFill="accent1" w:themeFillTint="99"/>
            <w:noWrap/>
            <w:vAlign w:val="center"/>
          </w:tcPr>
          <w:p w14:paraId="74A90ABA" w14:textId="77777777" w:rsidR="009C7EDB" w:rsidRPr="00E44744" w:rsidRDefault="009C7EDB" w:rsidP="00EB75F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Knowledge on structural changes in </w:t>
            </w:r>
            <w:r w:rsidR="00EB75F7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dental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healthcare, clinical practice, healthcare regulation and legislation 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140D83B9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65831750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7122405C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A0C03A1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9F41B38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4C5041E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53BC566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61108D01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52FE4CFC" w14:textId="77777777" w:rsidR="009C7EDB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0DC2F6D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A140DD7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E63AF27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21431312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noWrap/>
            <w:vAlign w:val="center"/>
          </w:tcPr>
          <w:p w14:paraId="253F5599" w14:textId="77777777" w:rsidR="009C7EDB" w:rsidRDefault="009C7EDB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5" w:type="pct"/>
            <w:shd w:val="clear" w:color="auto" w:fill="FFFFFF" w:themeFill="background1"/>
            <w:noWrap/>
            <w:vAlign w:val="center"/>
          </w:tcPr>
          <w:p w14:paraId="09C38552" w14:textId="77777777" w:rsidR="009C7EDB" w:rsidRDefault="009C7EDB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2CDE557F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9C7EDB" w:rsidRPr="000F03AA" w14:paraId="46D84C15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FFE389"/>
            <w:noWrap/>
            <w:vAlign w:val="center"/>
          </w:tcPr>
          <w:p w14:paraId="7A6F1EB6" w14:textId="77777777" w:rsidR="009C7EDB" w:rsidRPr="00E44744" w:rsidRDefault="009C7EDB" w:rsidP="009576A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937815">
              <w:rPr>
                <w:rFonts w:ascii="Arial" w:eastAsia="Times New Roman" w:hAnsi="Arial" w:cs="Arial"/>
                <w:bCs/>
                <w:sz w:val="18"/>
                <w:szCs w:val="18"/>
                <w:shd w:val="clear" w:color="auto" w:fill="FFE389"/>
                <w:lang w:eastAsia="en-GB"/>
              </w:rPr>
              <w:t>Skilled in stakeholder engagement and member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communications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13FA1E76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7D6F4F88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324B1D3A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6AD07A0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70A3887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E275DC0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74445E5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413A5668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7611A30D" w14:textId="77777777" w:rsidR="009C7EDB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1DA930AC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EBCEF34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1318AFD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54ADD15E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noWrap/>
            <w:vAlign w:val="center"/>
          </w:tcPr>
          <w:p w14:paraId="2B45EB9A" w14:textId="77777777" w:rsidR="009C7EDB" w:rsidRDefault="009C7EDB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5" w:type="pct"/>
            <w:shd w:val="clear" w:color="auto" w:fill="FFFFFF" w:themeFill="background1"/>
            <w:noWrap/>
            <w:vAlign w:val="center"/>
          </w:tcPr>
          <w:p w14:paraId="346C2E5D" w14:textId="77777777" w:rsidR="009C7EDB" w:rsidRDefault="009C7EDB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353B8133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9C7EDB" w:rsidRPr="000F03AA" w14:paraId="20D98207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C2D69B" w:themeFill="accent3" w:themeFillTint="99"/>
            <w:noWrap/>
            <w:vAlign w:val="center"/>
          </w:tcPr>
          <w:p w14:paraId="72EB9133" w14:textId="77777777" w:rsidR="009C7EDB" w:rsidRPr="00E44744" w:rsidRDefault="009C7EDB" w:rsidP="00EB75F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Experienced in monitoring G</w:t>
            </w:r>
            <w:r w:rsidR="00EB75F7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D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C and other </w:t>
            </w:r>
            <w:r w:rsidR="00EB75F7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dental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regulatory issues and interpret for MP</w:t>
            </w:r>
            <w:r w:rsidR="00EB75F7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522E4DFC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55728B25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2650F90A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B6EAC02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2FC9851F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104B92C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D40AEB2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057A90C0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4A0FBE10" w14:textId="77777777" w:rsidR="009C7EDB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8FB3B03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913BBB4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4514CB85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49D09312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noWrap/>
            <w:vAlign w:val="center"/>
          </w:tcPr>
          <w:p w14:paraId="61A6E6A3" w14:textId="77777777" w:rsidR="009C7EDB" w:rsidRDefault="009C7EDB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5" w:type="pct"/>
            <w:shd w:val="clear" w:color="auto" w:fill="FFFFFF" w:themeFill="background1"/>
            <w:noWrap/>
            <w:vAlign w:val="center"/>
          </w:tcPr>
          <w:p w14:paraId="5AEAF7E5" w14:textId="77777777" w:rsidR="009C7EDB" w:rsidRDefault="009C7EDB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0334EFA0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9C7EDB" w:rsidRPr="000F03AA" w14:paraId="514763FA" w14:textId="77777777" w:rsidTr="00255B03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C2D69B" w:themeFill="accent3" w:themeFillTint="99"/>
            <w:noWrap/>
            <w:vAlign w:val="center"/>
          </w:tcPr>
          <w:p w14:paraId="535E0329" w14:textId="77777777" w:rsidR="009C7EDB" w:rsidRPr="00E44744" w:rsidRDefault="009C7EDB" w:rsidP="009576A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Experienced in monitoring the re-validation of MPS medical employees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58AC2AB6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5FEF7AC1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01453ADF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7F0410C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6FC4081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6435D53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15FDF10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35FD6592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552E5613" w14:textId="77777777" w:rsidR="009C7EDB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6DA8EE0B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4C0FF5B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B10F423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5472D7C0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noWrap/>
            <w:vAlign w:val="center"/>
          </w:tcPr>
          <w:p w14:paraId="54CBD676" w14:textId="77777777" w:rsidR="009C7EDB" w:rsidRDefault="009C7EDB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5" w:type="pct"/>
            <w:shd w:val="clear" w:color="auto" w:fill="FFFFFF" w:themeFill="background1"/>
            <w:noWrap/>
            <w:vAlign w:val="center"/>
          </w:tcPr>
          <w:p w14:paraId="2AEF546B" w14:textId="77777777" w:rsidR="009C7EDB" w:rsidRDefault="009C7EDB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3A8667C3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9C7EDB" w:rsidRPr="000F03AA" w14:paraId="427BBDBA" w14:textId="77777777" w:rsidTr="009C7EDB">
        <w:trPr>
          <w:gridAfter w:val="6"/>
          <w:wAfter w:w="736" w:type="pct"/>
          <w:trHeight w:val="285"/>
        </w:trPr>
        <w:tc>
          <w:tcPr>
            <w:tcW w:w="2227" w:type="pct"/>
            <w:shd w:val="clear" w:color="auto" w:fill="D99594" w:themeFill="accent2" w:themeFillTint="99"/>
            <w:noWrap/>
            <w:vAlign w:val="center"/>
          </w:tcPr>
          <w:p w14:paraId="3AD35A3E" w14:textId="77777777" w:rsidR="009C7EDB" w:rsidRDefault="009C7EDB" w:rsidP="009576A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Qualified as a dentist</w:t>
            </w:r>
          </w:p>
        </w:tc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5939CFFE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</w:tcPr>
          <w:p w14:paraId="19ED2A74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" w:type="pct"/>
            <w:shd w:val="clear" w:color="auto" w:fill="D9D9D9" w:themeFill="background1" w:themeFillShade="D9"/>
            <w:noWrap/>
            <w:vAlign w:val="center"/>
          </w:tcPr>
          <w:p w14:paraId="3A825C30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617722F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C843942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37957E0E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7D11BA32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2C210B93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0AC5C02D" w14:textId="77777777" w:rsidR="009C7EDB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F6A338C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08485A5A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" w:type="pct"/>
            <w:shd w:val="clear" w:color="auto" w:fill="D9D9D9" w:themeFill="background1" w:themeFillShade="D9"/>
            <w:noWrap/>
            <w:vAlign w:val="center"/>
          </w:tcPr>
          <w:p w14:paraId="5ABEF607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7" w:type="pct"/>
            <w:gridSpan w:val="2"/>
            <w:shd w:val="clear" w:color="auto" w:fill="D9D9D9" w:themeFill="background1" w:themeFillShade="D9"/>
            <w:noWrap/>
            <w:vAlign w:val="center"/>
          </w:tcPr>
          <w:p w14:paraId="6AF14162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" w:type="pct"/>
            <w:gridSpan w:val="2"/>
            <w:shd w:val="clear" w:color="auto" w:fill="FFFFFF" w:themeFill="background1"/>
            <w:noWrap/>
            <w:vAlign w:val="center"/>
          </w:tcPr>
          <w:p w14:paraId="44663A72" w14:textId="77777777" w:rsidR="009C7EDB" w:rsidRDefault="009C7EDB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35" w:type="pct"/>
            <w:shd w:val="clear" w:color="auto" w:fill="FFFFFF" w:themeFill="background1"/>
            <w:noWrap/>
            <w:vAlign w:val="center"/>
          </w:tcPr>
          <w:p w14:paraId="20DD0C58" w14:textId="77777777" w:rsidR="009C7EDB" w:rsidRDefault="009C7EDB" w:rsidP="009576AE">
            <w:pPr>
              <w:jc w:val="center"/>
            </w:pPr>
            <w:r w:rsidRPr="003C01E5"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  <w:t>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14:paraId="5B2F5925" w14:textId="77777777" w:rsidR="009C7EDB" w:rsidRPr="000F03AA" w:rsidRDefault="009C7EDB" w:rsidP="00123D3C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202A67E2" w14:textId="77777777" w:rsidR="000F03AA" w:rsidRPr="009271A2" w:rsidRDefault="000F03AA" w:rsidP="008C75B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sectPr w:rsidR="000F03AA" w:rsidRPr="009271A2" w:rsidSect="003739A6">
      <w:footerReference w:type="default" r:id="rId9"/>
      <w:pgSz w:w="16838" w:h="11906" w:orient="landscape"/>
      <w:pgMar w:top="851" w:right="680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54061" w14:textId="77777777" w:rsidR="00F42917" w:rsidRDefault="00F42917" w:rsidP="00F42917">
      <w:pPr>
        <w:spacing w:after="0" w:line="240" w:lineRule="auto"/>
      </w:pPr>
      <w:r>
        <w:separator/>
      </w:r>
    </w:p>
  </w:endnote>
  <w:endnote w:type="continuationSeparator" w:id="0">
    <w:p w14:paraId="7EC0F68D" w14:textId="77777777" w:rsidR="00F42917" w:rsidRDefault="00F42917" w:rsidP="00F4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BDC96" w14:textId="77777777" w:rsidR="00F42917" w:rsidRDefault="00F42917">
    <w:pPr>
      <w:pStyle w:val="Footer"/>
    </w:pPr>
    <w:r>
      <w:t>REM.DOC 22.17C – July 2017</w:t>
    </w:r>
    <w:r w:rsidR="000763C6">
      <w:t xml:space="preserve"> version 0.5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FFE61" w14:textId="77777777" w:rsidR="00F42917" w:rsidRDefault="00F42917" w:rsidP="00F42917">
      <w:pPr>
        <w:spacing w:after="0" w:line="240" w:lineRule="auto"/>
      </w:pPr>
      <w:r>
        <w:separator/>
      </w:r>
    </w:p>
  </w:footnote>
  <w:footnote w:type="continuationSeparator" w:id="0">
    <w:p w14:paraId="0D310E75" w14:textId="77777777" w:rsidR="00F42917" w:rsidRDefault="00F42917" w:rsidP="00F4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37A4C"/>
    <w:multiLevelType w:val="hybridMultilevel"/>
    <w:tmpl w:val="6B7037DC"/>
    <w:lvl w:ilvl="0" w:tplc="CCAC938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46564"/>
    <w:multiLevelType w:val="hybridMultilevel"/>
    <w:tmpl w:val="0414B76A"/>
    <w:lvl w:ilvl="0" w:tplc="7D1AE4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8275F"/>
    <w:multiLevelType w:val="hybridMultilevel"/>
    <w:tmpl w:val="215C2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C1296"/>
    <w:multiLevelType w:val="multilevel"/>
    <w:tmpl w:val="4732CF6E"/>
    <w:lvl w:ilvl="0">
      <w:start w:val="1"/>
      <w:numFmt w:val="decimal"/>
      <w:lvlText w:val="6.2.1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062E64"/>
      </w:rPr>
    </w:lvl>
    <w:lvl w:ilvl="2">
      <w:start w:val="1"/>
      <w:numFmt w:val="bullet"/>
      <w:lvlText w:val="o"/>
      <w:lvlJc w:val="left"/>
      <w:pPr>
        <w:tabs>
          <w:tab w:val="num" w:pos="1224"/>
        </w:tabs>
        <w:ind w:left="1224" w:hanging="504"/>
      </w:pPr>
      <w:rPr>
        <w:rFonts w:ascii="Courier New" w:hAnsi="Courier New" w:cs="Courier New" w:hint="default"/>
        <w:color w:val="062E64"/>
      </w:rPr>
    </w:lvl>
    <w:lvl w:ilvl="3">
      <w:start w:val="1"/>
      <w:numFmt w:val="bullet"/>
      <w:lvlText w:val=""/>
      <w:lvlJc w:val="left"/>
      <w:pPr>
        <w:tabs>
          <w:tab w:val="num" w:pos="1728"/>
        </w:tabs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318014F"/>
    <w:multiLevelType w:val="hybridMultilevel"/>
    <w:tmpl w:val="8E7C95F4"/>
    <w:lvl w:ilvl="0" w:tplc="490CD78C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B84739"/>
    <w:multiLevelType w:val="hybridMultilevel"/>
    <w:tmpl w:val="48567B1C"/>
    <w:lvl w:ilvl="0" w:tplc="6936D58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6F1C15"/>
    <w:multiLevelType w:val="hybridMultilevel"/>
    <w:tmpl w:val="C23881E6"/>
    <w:lvl w:ilvl="0" w:tplc="33103A5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D5DA0"/>
    <w:multiLevelType w:val="hybridMultilevel"/>
    <w:tmpl w:val="0350867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E8F"/>
    <w:rsid w:val="0002201A"/>
    <w:rsid w:val="000571F1"/>
    <w:rsid w:val="000763C6"/>
    <w:rsid w:val="00095256"/>
    <w:rsid w:val="000A0C86"/>
    <w:rsid w:val="000B218A"/>
    <w:rsid w:val="000B6E26"/>
    <w:rsid w:val="000C4544"/>
    <w:rsid w:val="000F03AA"/>
    <w:rsid w:val="000F33C4"/>
    <w:rsid w:val="0010221D"/>
    <w:rsid w:val="00107AA3"/>
    <w:rsid w:val="00123D3C"/>
    <w:rsid w:val="00140C4A"/>
    <w:rsid w:val="00144A14"/>
    <w:rsid w:val="00153460"/>
    <w:rsid w:val="001B7E8F"/>
    <w:rsid w:val="001E3C16"/>
    <w:rsid w:val="00216062"/>
    <w:rsid w:val="00230877"/>
    <w:rsid w:val="00231313"/>
    <w:rsid w:val="00247AC1"/>
    <w:rsid w:val="00255B03"/>
    <w:rsid w:val="0029381D"/>
    <w:rsid w:val="00297283"/>
    <w:rsid w:val="00297661"/>
    <w:rsid w:val="002D4DC0"/>
    <w:rsid w:val="002E3A75"/>
    <w:rsid w:val="002F2353"/>
    <w:rsid w:val="002F2F1F"/>
    <w:rsid w:val="002F42F8"/>
    <w:rsid w:val="002F5DFF"/>
    <w:rsid w:val="00350CB2"/>
    <w:rsid w:val="003739A6"/>
    <w:rsid w:val="003D1395"/>
    <w:rsid w:val="003D7354"/>
    <w:rsid w:val="00420C1C"/>
    <w:rsid w:val="0043261B"/>
    <w:rsid w:val="00435ECB"/>
    <w:rsid w:val="00441A16"/>
    <w:rsid w:val="004437F5"/>
    <w:rsid w:val="00471DC2"/>
    <w:rsid w:val="00475F3E"/>
    <w:rsid w:val="004805BC"/>
    <w:rsid w:val="004A4B3F"/>
    <w:rsid w:val="004C1EA4"/>
    <w:rsid w:val="004D2E36"/>
    <w:rsid w:val="004D7220"/>
    <w:rsid w:val="004E048E"/>
    <w:rsid w:val="0052027C"/>
    <w:rsid w:val="00533F4C"/>
    <w:rsid w:val="00542041"/>
    <w:rsid w:val="0056663C"/>
    <w:rsid w:val="005759E4"/>
    <w:rsid w:val="0059525A"/>
    <w:rsid w:val="005A581A"/>
    <w:rsid w:val="005B4952"/>
    <w:rsid w:val="005B5723"/>
    <w:rsid w:val="005C6910"/>
    <w:rsid w:val="005F4B59"/>
    <w:rsid w:val="00611105"/>
    <w:rsid w:val="0064100C"/>
    <w:rsid w:val="006617E4"/>
    <w:rsid w:val="00690AB7"/>
    <w:rsid w:val="006A7C42"/>
    <w:rsid w:val="006E3C43"/>
    <w:rsid w:val="006F1A3C"/>
    <w:rsid w:val="00724661"/>
    <w:rsid w:val="007336EB"/>
    <w:rsid w:val="007526EF"/>
    <w:rsid w:val="00761C0F"/>
    <w:rsid w:val="00790BB5"/>
    <w:rsid w:val="00793BC3"/>
    <w:rsid w:val="007A17B1"/>
    <w:rsid w:val="007B56F7"/>
    <w:rsid w:val="007C3BCF"/>
    <w:rsid w:val="007D1859"/>
    <w:rsid w:val="007D5784"/>
    <w:rsid w:val="00840EFE"/>
    <w:rsid w:val="00846344"/>
    <w:rsid w:val="00876E1E"/>
    <w:rsid w:val="008A1CCA"/>
    <w:rsid w:val="008C3E15"/>
    <w:rsid w:val="008C75B0"/>
    <w:rsid w:val="008E7BE2"/>
    <w:rsid w:val="00902443"/>
    <w:rsid w:val="009024A1"/>
    <w:rsid w:val="009271A2"/>
    <w:rsid w:val="00936C82"/>
    <w:rsid w:val="00937815"/>
    <w:rsid w:val="0094348E"/>
    <w:rsid w:val="0096104B"/>
    <w:rsid w:val="00961EB9"/>
    <w:rsid w:val="0098762F"/>
    <w:rsid w:val="009C7EDB"/>
    <w:rsid w:val="009D6B5C"/>
    <w:rsid w:val="009E2C6E"/>
    <w:rsid w:val="00A11957"/>
    <w:rsid w:val="00A346CF"/>
    <w:rsid w:val="00A3715C"/>
    <w:rsid w:val="00A87DA8"/>
    <w:rsid w:val="00AA246F"/>
    <w:rsid w:val="00AA3ED9"/>
    <w:rsid w:val="00AB0333"/>
    <w:rsid w:val="00AB098B"/>
    <w:rsid w:val="00AB70C5"/>
    <w:rsid w:val="00AD7A48"/>
    <w:rsid w:val="00AE096F"/>
    <w:rsid w:val="00AF3468"/>
    <w:rsid w:val="00B07AC2"/>
    <w:rsid w:val="00B425F6"/>
    <w:rsid w:val="00B43ADD"/>
    <w:rsid w:val="00B57372"/>
    <w:rsid w:val="00B6493E"/>
    <w:rsid w:val="00B738DC"/>
    <w:rsid w:val="00B9525E"/>
    <w:rsid w:val="00BD07D2"/>
    <w:rsid w:val="00BF7612"/>
    <w:rsid w:val="00C15334"/>
    <w:rsid w:val="00C31FAC"/>
    <w:rsid w:val="00C35279"/>
    <w:rsid w:val="00C4491E"/>
    <w:rsid w:val="00C64BBB"/>
    <w:rsid w:val="00C72565"/>
    <w:rsid w:val="00CA0CA7"/>
    <w:rsid w:val="00CB1EF5"/>
    <w:rsid w:val="00D0692C"/>
    <w:rsid w:val="00D22192"/>
    <w:rsid w:val="00D31792"/>
    <w:rsid w:val="00D41E4F"/>
    <w:rsid w:val="00D65C2E"/>
    <w:rsid w:val="00DB0316"/>
    <w:rsid w:val="00DC0D28"/>
    <w:rsid w:val="00DC4B89"/>
    <w:rsid w:val="00DD1326"/>
    <w:rsid w:val="00E41FF3"/>
    <w:rsid w:val="00E44744"/>
    <w:rsid w:val="00E57909"/>
    <w:rsid w:val="00E63EDA"/>
    <w:rsid w:val="00E67BEB"/>
    <w:rsid w:val="00EA0B67"/>
    <w:rsid w:val="00EB2CD2"/>
    <w:rsid w:val="00EB75F7"/>
    <w:rsid w:val="00EC42B4"/>
    <w:rsid w:val="00F07ACB"/>
    <w:rsid w:val="00F278E0"/>
    <w:rsid w:val="00F31631"/>
    <w:rsid w:val="00F42917"/>
    <w:rsid w:val="00F5617E"/>
    <w:rsid w:val="00F71B2C"/>
    <w:rsid w:val="00F71DAB"/>
    <w:rsid w:val="00F80FF0"/>
    <w:rsid w:val="00FC55FB"/>
    <w:rsid w:val="00FE3291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17E83"/>
  <w15:docId w15:val="{0DB89301-EA29-4159-9D76-D635B941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E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70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E7BE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42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917"/>
  </w:style>
  <w:style w:type="paragraph" w:styleId="Footer">
    <w:name w:val="footer"/>
    <w:basedOn w:val="Normal"/>
    <w:link w:val="FooterChar"/>
    <w:uiPriority w:val="99"/>
    <w:unhideWhenUsed/>
    <w:rsid w:val="00F42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11DFEAD1-370C-4C39-B108-AF601F1AC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63719-3A4F-46B7-A96D-DC6A8DBA1C7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1601</Words>
  <Characters>9127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Hayward, Matt</dc:creator>
  <dc:description>MPS Internal Only</dc:description>
  <cp:lastModifiedBy>Julia</cp:lastModifiedBy>
  <cp:revision>2</cp:revision>
  <cp:lastPrinted>2017-05-18T12:46:00Z</cp:lastPrinted>
  <dcterms:created xsi:type="dcterms:W3CDTF">2021-04-16T10:17:00Z</dcterms:created>
  <dcterms:modified xsi:type="dcterms:W3CDTF">2021-04-16T10:17:00Z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a4e0ca88-dd59-4485-afcf-9a0c46d387e2</vt:lpwstr>
  </property>
  <property fmtid="{D5CDD505-2E9C-101B-9397-08002B2CF9AE}" pid="3" name="bjSaver">
    <vt:lpwstr>9cTj3h4+LdHpH3K3tqe9SYnGeqVaLHFk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