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541C93" w14:paraId="412EDA2A" w14:textId="77777777" w:rsidTr="764F3836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B086FB6" w14:textId="77777777" w:rsidR="00F5319A" w:rsidRPr="00541C93" w:rsidRDefault="00F5319A" w:rsidP="00B75089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DB24C72" w14:textId="19381383" w:rsidR="00F5319A" w:rsidRPr="00541C93" w:rsidRDefault="002F7212" w:rsidP="009D08BA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Engineer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C2B7527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A3A1470" w14:textId="76778701" w:rsidR="00F5319A" w:rsidRPr="00541C93" w:rsidRDefault="006F1CE1" w:rsidP="008A357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Engineering </w:t>
            </w:r>
            <w:r w:rsidR="003550DC">
              <w:rPr>
                <w:rFonts w:ascii="Arial" w:hAnsi="Arial" w:cs="Arial"/>
                <w:sz w:val="20"/>
                <w:szCs w:val="20"/>
              </w:rPr>
              <w:t xml:space="preserve">and Contracts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</w:tr>
      <w:tr w:rsidR="008F48E1" w:rsidRPr="00541C93" w14:paraId="73EB6492" w14:textId="77777777" w:rsidTr="764F3836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D74500E" w14:textId="77777777" w:rsidR="008F48E1" w:rsidRPr="00541C93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22FF7E9" w14:textId="25597ABC" w:rsidR="008F48E1" w:rsidRPr="00541C93" w:rsidRDefault="000537E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4682C7" w14:textId="77777777" w:rsidR="008F48E1" w:rsidRPr="00541C93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2D140408" w14:textId="77902120" w:rsidR="008F48E1" w:rsidRPr="00541C93" w:rsidRDefault="00FC4511" w:rsidP="008F48E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Corporate Services</w:t>
            </w:r>
          </w:p>
        </w:tc>
      </w:tr>
      <w:tr w:rsidR="008F48E1" w:rsidRPr="00541C93" w14:paraId="1AE6E0E0" w14:textId="77777777" w:rsidTr="764F3836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87E21B0" w14:textId="77777777" w:rsidR="008F48E1" w:rsidRPr="00541C93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344030D0" w14:textId="4F8A6E71" w:rsidR="008F48E1" w:rsidRPr="00541C93" w:rsidRDefault="002F7212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0415C4AD" w14:textId="2F3E4977" w:rsidR="009B3C71" w:rsidRPr="00541C93" w:rsidRDefault="009B3C7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26C569" w14:textId="77777777" w:rsidR="008F48E1" w:rsidRPr="00541C93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14338CD" w14:textId="6F53B7AB" w:rsidR="008F48E1" w:rsidRPr="00541C93" w:rsidRDefault="00FC4511" w:rsidP="00E4094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F5319A" w:rsidRPr="00541C93" w14:paraId="5778F9A8" w14:textId="77777777" w:rsidTr="764F3836">
        <w:trPr>
          <w:trHeight w:val="350"/>
        </w:trPr>
        <w:tc>
          <w:tcPr>
            <w:tcW w:w="2127" w:type="dxa"/>
            <w:vMerge/>
          </w:tcPr>
          <w:p w14:paraId="264DA108" w14:textId="77777777" w:rsidR="00F5319A" w:rsidRPr="00541C93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277777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1ED59E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1A5698" w14:textId="7046DFEF" w:rsidR="00AD1338" w:rsidRPr="00541C93" w:rsidRDefault="00FC4511" w:rsidP="00FC451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budget or people </w:t>
            </w:r>
            <w:r w:rsidR="003550DC">
              <w:rPr>
                <w:rFonts w:ascii="Arial" w:hAnsi="Arial" w:cs="Arial"/>
                <w:sz w:val="20"/>
                <w:szCs w:val="20"/>
              </w:rPr>
              <w:t>accountabilities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541C93" w14:paraId="6D1241AD" w14:textId="77777777" w:rsidTr="764F3836">
        <w:trPr>
          <w:trHeight w:val="381"/>
        </w:trPr>
        <w:tc>
          <w:tcPr>
            <w:tcW w:w="2127" w:type="dxa"/>
            <w:vMerge/>
          </w:tcPr>
          <w:p w14:paraId="570E8636" w14:textId="77777777" w:rsidR="00F5319A" w:rsidRPr="00541C93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33F99D6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FD86E1" w14:textId="77777777" w:rsidR="00F5319A" w:rsidRPr="00541C93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541C93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E2C1AF0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541C93" w14:paraId="6D54DC0F" w14:textId="77777777" w:rsidTr="764F3836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06E778A" w14:textId="77777777" w:rsidR="007E7CA1" w:rsidRPr="00541C93" w:rsidRDefault="007E7CA1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8ECE656" w14:textId="48CA0491" w:rsidR="007E7CA1" w:rsidRPr="00541C93" w:rsidRDefault="00AD457C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4D5F2A" w14:textId="77777777" w:rsidR="007E7CA1" w:rsidRPr="00541C93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A4893A5" w14:textId="776BFE2A" w:rsidR="007E7CA1" w:rsidRPr="00541C93" w:rsidRDefault="00AD457C" w:rsidP="00B75089">
            <w:pPr>
              <w:pStyle w:val="Header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and Operational Services</w:t>
            </w:r>
          </w:p>
        </w:tc>
      </w:tr>
    </w:tbl>
    <w:p w14:paraId="6B8B1159" w14:textId="77777777" w:rsidR="00F5319A" w:rsidRPr="00541C93" w:rsidRDefault="00F5319A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541C93" w14:paraId="7305768F" w14:textId="77777777" w:rsidTr="7E63C5B5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12584BC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EE73" w14:textId="2DD08216" w:rsidR="009E22D0" w:rsidRPr="00541C93" w:rsidRDefault="08FABDD6" w:rsidP="2CEF58DF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  <w:r w:rsidR="14F57EE7" w:rsidRPr="00541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A8E1BAA"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Role Purpose</w:t>
            </w:r>
          </w:p>
        </w:tc>
      </w:tr>
      <w:tr w:rsidR="009E22D0" w:rsidRPr="00541C93" w14:paraId="46D53C94" w14:textId="77777777" w:rsidTr="7E63C5B5">
        <w:trPr>
          <w:trHeight w:val="1781"/>
        </w:trPr>
        <w:tc>
          <w:tcPr>
            <w:tcW w:w="10509" w:type="dxa"/>
          </w:tcPr>
          <w:p w14:paraId="2546B2E7" w14:textId="77777777" w:rsidR="00541C93" w:rsidRPr="00541C93" w:rsidRDefault="00541C93" w:rsidP="00252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77E40" w14:textId="77777777" w:rsidR="00CB6DD1" w:rsidRDefault="00CB6DD1" w:rsidP="00CB6DD1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Reporting to the Engineering Manager the Assistant Engineer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 xml:space="preserve"> provide</w:t>
            </w:r>
            <w:r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 xml:space="preserve"> technical </w:t>
            </w:r>
            <w:r>
              <w:rPr>
                <w:rFonts w:ascii="Arial" w:hAnsi="Arial" w:cs="Arial"/>
                <w:iCs/>
                <w:sz w:val="20"/>
                <w:szCs w:val="20"/>
              </w:rPr>
              <w:t>support for MPS workspaces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>, ensuring the safe, efficient, and compliant delivery of engineering and maintenance works through effective coordination and management of subcontractors on-site.</w:t>
            </w:r>
          </w:p>
          <w:p w14:paraId="7B2EF880" w14:textId="77777777" w:rsidR="00CB6DD1" w:rsidRDefault="00CB6DD1" w:rsidP="00CB6DD1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F522764" w14:textId="65BB5CBA" w:rsidR="00CB6DD1" w:rsidRPr="00CB6DD1" w:rsidRDefault="00CB6DD1" w:rsidP="00CB6DD1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 xml:space="preserve"> The Assistant Engineer supports the planning, monitoring, and documentation of works, contributing to the smooth delivery of projects and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BAU 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>operational activities.</w:t>
            </w:r>
          </w:p>
          <w:p w14:paraId="6332AD0E" w14:textId="77777777" w:rsidR="00CB2F3C" w:rsidRPr="00541C93" w:rsidRDefault="00CB2F3C" w:rsidP="0025222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2DA96B9" w14:textId="601E3EF6" w:rsidR="003419D1" w:rsidRPr="00541C93" w:rsidRDefault="003419D1" w:rsidP="00541C9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81DFE4" w14:textId="77777777" w:rsidR="009E22D0" w:rsidRPr="00541C93" w:rsidRDefault="009E22D0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41C93" w14:paraId="46CEC61E" w14:textId="77777777" w:rsidTr="748467DD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771DC5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DF6CB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541C93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541C93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0B196B4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1969" w14:textId="77777777" w:rsidR="009E22D0" w:rsidRPr="00541C93" w:rsidRDefault="009E22D0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AAE9674" w14:textId="77777777" w:rsidR="00850672" w:rsidRPr="00541C93" w:rsidRDefault="00850672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41C93" w14:paraId="07FD2815" w14:textId="77777777" w:rsidTr="748467DD">
        <w:trPr>
          <w:trHeight w:val="578"/>
        </w:trPr>
        <w:tc>
          <w:tcPr>
            <w:tcW w:w="6346" w:type="dxa"/>
          </w:tcPr>
          <w:p w14:paraId="037FC093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Coordinate day-to-day activities of subcontractors working on-site, ensuring work is delivered to specification, timescale, and budget.</w:t>
            </w:r>
          </w:p>
          <w:p w14:paraId="570B7808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Act as the main point of contact for contractors, communicating scope, safety requirements, and deliverables.</w:t>
            </w:r>
          </w:p>
          <w:p w14:paraId="6E08A052" w14:textId="5086CA36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>planning, including scheduling works, tracking progress, and managing documentation.</w:t>
            </w:r>
          </w:p>
          <w:p w14:paraId="5BFB6CB0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Assist with preparing work packages, technical briefs, permits, and risk assessments.</w:t>
            </w:r>
          </w:p>
          <w:p w14:paraId="5785825D" w14:textId="12D05A6F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 xml:space="preserve">Monitor on-site performance, safety compliance, and quality standards through tracking and </w:t>
            </w:r>
            <w:r w:rsidR="006664D6" w:rsidRPr="00CB6DD1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6664D6">
              <w:rPr>
                <w:rFonts w:ascii="Arial" w:hAnsi="Arial" w:cs="Arial"/>
                <w:iCs/>
                <w:sz w:val="20"/>
                <w:szCs w:val="20"/>
              </w:rPr>
              <w:t>n-site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inspections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37E70F3D" w14:textId="246C7DA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 xml:space="preserve">Escalate issues or non-conformances 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CB6DD1">
              <w:rPr>
                <w:rFonts w:ascii="Arial" w:hAnsi="Arial" w:cs="Arial"/>
                <w:iCs/>
                <w:sz w:val="20"/>
                <w:szCs w:val="20"/>
              </w:rPr>
              <w:t>ngineer</w:t>
            </w:r>
            <w:r>
              <w:rPr>
                <w:rFonts w:ascii="Arial" w:hAnsi="Arial" w:cs="Arial"/>
                <w:iCs/>
                <w:sz w:val="20"/>
                <w:szCs w:val="20"/>
              </w:rPr>
              <w:t>ing Manager</w:t>
            </w:r>
          </w:p>
          <w:p w14:paraId="36406EC1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Review and verify contractor documentation including RAMS (Risk Assessments &amp; Method Statements), progress reports, and completion records.</w:t>
            </w:r>
          </w:p>
          <w:p w14:paraId="60E5A28D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Maintain accurate records of works, inspections, and contractor communications.</w:t>
            </w:r>
          </w:p>
          <w:p w14:paraId="6499DD27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Liaise with internal teams (e.g., health &amp; safety, procurement, finance) to support project delivery.</w:t>
            </w:r>
          </w:p>
          <w:p w14:paraId="7DC60A84" w14:textId="77777777" w:rsidR="00CB6DD1" w:rsidRPr="00CB6DD1" w:rsidRDefault="00CB6DD1" w:rsidP="00CB6DD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B6DD1">
              <w:rPr>
                <w:rFonts w:ascii="Arial" w:hAnsi="Arial" w:cs="Arial"/>
                <w:iCs/>
                <w:sz w:val="20"/>
                <w:szCs w:val="20"/>
              </w:rPr>
              <w:t>Contribute to continual improvement of contractor performance and engineering procedures.</w:t>
            </w:r>
          </w:p>
          <w:p w14:paraId="70348E8F" w14:textId="5E9A58F1" w:rsidR="00CA7F84" w:rsidRPr="004426AE" w:rsidRDefault="00CA7F84" w:rsidP="00CB6DD1">
            <w:pPr>
              <w:pStyle w:val="ListParagraph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4DF1F2" w14:textId="77777777" w:rsidR="003331BE" w:rsidRPr="00541C93" w:rsidRDefault="003331BE" w:rsidP="003331BE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8A9AED" w14:textId="052D517F" w:rsidR="00FA5A81" w:rsidRDefault="00FC4511" w:rsidP="00FC451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  <w:p w14:paraId="5093585B" w14:textId="72C6CD7D" w:rsidR="00FC4511" w:rsidRDefault="00FC4511" w:rsidP="00FC451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Organisation of sub-contractors</w:t>
            </w:r>
          </w:p>
          <w:p w14:paraId="568146DB" w14:textId="198AEC48" w:rsidR="00FC4511" w:rsidRDefault="00FC4511" w:rsidP="00FC451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Compliance with H&amp;S requirements and regulations</w:t>
            </w:r>
            <w:r w:rsidR="001D49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56D063" w14:textId="40E1650F" w:rsidR="00FC4511" w:rsidRPr="00022596" w:rsidRDefault="00FC4511" w:rsidP="00FC451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Risk and H&amp;S documentation and record keeping</w:t>
            </w:r>
          </w:p>
          <w:p w14:paraId="0D3D694B" w14:textId="77777777" w:rsidR="008F48E1" w:rsidRPr="00541C93" w:rsidRDefault="008F48E1" w:rsidP="00CB6DD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2F537030" w14:textId="77777777" w:rsidTr="748467DD">
        <w:trPr>
          <w:trHeight w:val="578"/>
        </w:trPr>
        <w:tc>
          <w:tcPr>
            <w:tcW w:w="6346" w:type="dxa"/>
          </w:tcPr>
          <w:p w14:paraId="096692E3" w14:textId="77777777" w:rsidR="00814EE0" w:rsidRDefault="00814EE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76C32" w14:textId="1F21EFE2" w:rsidR="009E22D0" w:rsidRDefault="009E22D0" w:rsidP="748467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8467DD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="00423D58">
              <w:rPr>
                <w:rFonts w:ascii="Arial" w:hAnsi="Arial" w:cs="Arial"/>
                <w:b/>
                <w:bCs/>
                <w:sz w:val="20"/>
                <w:szCs w:val="20"/>
              </w:rPr>
              <w:t>INANCIAL</w:t>
            </w:r>
          </w:p>
          <w:p w14:paraId="657B48BE" w14:textId="5C6F36AE" w:rsidR="00814EE0" w:rsidRPr="006664D6" w:rsidRDefault="00FC1FA8" w:rsidP="006664D6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6664D6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Contribute to </w:t>
            </w:r>
            <w:r w:rsidR="0095691E" w:rsidRPr="006664D6">
              <w:rPr>
                <w:rFonts w:ascii="Arial" w:hAnsi="Arial" w:cs="Arial"/>
                <w:iCs/>
                <w:sz w:val="20"/>
                <w:szCs w:val="20"/>
              </w:rPr>
              <w:t>cost impact</w:t>
            </w:r>
            <w:r w:rsidRPr="006664D6">
              <w:rPr>
                <w:rFonts w:ascii="Arial" w:hAnsi="Arial" w:cs="Arial"/>
                <w:iCs/>
                <w:sz w:val="20"/>
                <w:szCs w:val="20"/>
              </w:rPr>
              <w:t xml:space="preserve"> analysis versus performance</w:t>
            </w:r>
            <w:r w:rsidR="0095691E" w:rsidRPr="006664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84AAD" w:rsidRPr="006664D6">
              <w:rPr>
                <w:rFonts w:ascii="Arial" w:hAnsi="Arial" w:cs="Arial"/>
                <w:iCs/>
                <w:sz w:val="20"/>
                <w:szCs w:val="20"/>
              </w:rPr>
              <w:t xml:space="preserve">of </w:t>
            </w:r>
            <w:r w:rsidR="0095691E" w:rsidRPr="006664D6">
              <w:rPr>
                <w:rFonts w:ascii="Arial" w:hAnsi="Arial" w:cs="Arial"/>
                <w:iCs/>
                <w:sz w:val="20"/>
                <w:szCs w:val="20"/>
              </w:rPr>
              <w:t>existing</w:t>
            </w:r>
            <w:r w:rsidR="00084AAD" w:rsidRPr="006664D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95691E" w:rsidRPr="006664D6">
              <w:rPr>
                <w:rFonts w:ascii="Arial" w:hAnsi="Arial" w:cs="Arial"/>
                <w:iCs/>
                <w:sz w:val="20"/>
                <w:szCs w:val="20"/>
              </w:rPr>
              <w:t>suppliers</w:t>
            </w:r>
            <w:r w:rsidR="003B3D24" w:rsidRPr="006664D6">
              <w:rPr>
                <w:rFonts w:ascii="Arial" w:hAnsi="Arial" w:cs="Arial"/>
                <w:iCs/>
                <w:sz w:val="20"/>
                <w:szCs w:val="20"/>
              </w:rPr>
              <w:t>, inc</w:t>
            </w:r>
            <w:r w:rsidR="005241E2" w:rsidRPr="006664D6">
              <w:rPr>
                <w:rFonts w:ascii="Arial" w:hAnsi="Arial" w:cs="Arial"/>
                <w:iCs/>
                <w:sz w:val="20"/>
                <w:szCs w:val="20"/>
              </w:rPr>
              <w:t>luding reactive and proactive spend</w:t>
            </w:r>
            <w:r w:rsidR="00976168" w:rsidRPr="006664D6">
              <w:rPr>
                <w:rFonts w:ascii="Arial" w:hAnsi="Arial" w:cs="Arial"/>
                <w:iCs/>
                <w:sz w:val="20"/>
                <w:szCs w:val="20"/>
              </w:rPr>
              <w:t xml:space="preserve"> and any value engineering</w:t>
            </w:r>
          </w:p>
          <w:p w14:paraId="3E08A279" w14:textId="30FE22F7" w:rsidR="006941E5" w:rsidRPr="00A312F1" w:rsidRDefault="006941E5" w:rsidP="00A312F1">
            <w:pPr>
              <w:ind w:left="3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4A09928" w14:textId="607F53E7" w:rsidR="003F0076" w:rsidRDefault="00A312F1" w:rsidP="002926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Feedback and monitor ongoing supplier performance to ensure best value to MPS from a costs and value perspective</w:t>
            </w:r>
          </w:p>
          <w:p w14:paraId="0B016D78" w14:textId="6CCC3335" w:rsidR="007A60F4" w:rsidRDefault="007A60F4" w:rsidP="002926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Identify opportunities to optimise</w:t>
            </w:r>
            <w:r w:rsidR="00441A4F">
              <w:rPr>
                <w:rFonts w:ascii="Arial" w:eastAsia="Calibri" w:hAnsi="Arial" w:cs="Arial"/>
                <w:sz w:val="20"/>
                <w:szCs w:val="20"/>
              </w:rPr>
              <w:t xml:space="preserve"> costs</w:t>
            </w:r>
          </w:p>
          <w:p w14:paraId="4EFE34D2" w14:textId="5AF0870A" w:rsidR="00802C0C" w:rsidRPr="00541C93" w:rsidRDefault="00802C0C" w:rsidP="00802C0C">
            <w:pPr>
              <w:pStyle w:val="ListParagraph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3D3036" w14:textId="780227ED" w:rsidR="003A11E6" w:rsidRPr="00541C93" w:rsidRDefault="003A11E6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C29B5F" w14:textId="15CF511F" w:rsidR="00AE7E31" w:rsidRPr="00541C93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0D4366D" w14:textId="77777777" w:rsidR="003F0076" w:rsidRDefault="00A312F1" w:rsidP="00A312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Statutory </w:t>
            </w:r>
            <w:r w:rsidR="00C80FC9">
              <w:rPr>
                <w:rFonts w:ascii="Arial" w:hAnsi="Arial" w:cs="Arial"/>
                <w:sz w:val="20"/>
                <w:szCs w:val="20"/>
              </w:rPr>
              <w:t>Compliance</w:t>
            </w:r>
          </w:p>
          <w:p w14:paraId="722FB680" w14:textId="77777777" w:rsidR="00AC4C17" w:rsidRDefault="00AC4C17" w:rsidP="00A312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cost vs performance</w:t>
            </w:r>
          </w:p>
          <w:p w14:paraId="3E85D544" w14:textId="67A8B8F7" w:rsidR="00AC4C17" w:rsidRPr="00541C93" w:rsidRDefault="00AC4C17" w:rsidP="00A312F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of cost impact analysis</w:t>
            </w:r>
          </w:p>
        </w:tc>
      </w:tr>
      <w:tr w:rsidR="009E22D0" w:rsidRPr="00541C93" w14:paraId="212DBB94" w14:textId="77777777" w:rsidTr="748467DD">
        <w:trPr>
          <w:trHeight w:val="578"/>
        </w:trPr>
        <w:tc>
          <w:tcPr>
            <w:tcW w:w="6346" w:type="dxa"/>
          </w:tcPr>
          <w:p w14:paraId="2F03BD27" w14:textId="77777777" w:rsidR="009E22D0" w:rsidRPr="00541C93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271E595" w14:textId="77777777" w:rsidR="00541C93" w:rsidRPr="00541C93" w:rsidRDefault="00541C93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4C955" w14:textId="77777777" w:rsidR="00CD07D4" w:rsidRPr="00541C93" w:rsidRDefault="003F0076" w:rsidP="0067638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 w:rsidR="00CD07D4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E751DCA" w14:textId="77777777" w:rsidR="003F0076" w:rsidRPr="00541C93" w:rsidRDefault="00676383" w:rsidP="008F567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Always deliver fair treatment and outcomes for </w:t>
            </w:r>
            <w:r w:rsidR="00D87506" w:rsidRPr="00541C93">
              <w:rPr>
                <w:rFonts w:ascii="Arial" w:hAnsi="Arial" w:cs="Arial"/>
                <w:sz w:val="20"/>
                <w:szCs w:val="20"/>
              </w:rPr>
              <w:t>M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</w:t>
            </w:r>
            <w:r w:rsidR="000660EC" w:rsidRPr="00541C93">
              <w:rPr>
                <w:rFonts w:ascii="Arial" w:hAnsi="Arial" w:cs="Arial"/>
                <w:sz w:val="20"/>
                <w:szCs w:val="20"/>
              </w:rPr>
              <w:t>committees,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 and delegated authorities.</w:t>
            </w:r>
          </w:p>
          <w:p w14:paraId="5CCECCE3" w14:textId="257A4350" w:rsidR="008F5679" w:rsidRPr="00541C93" w:rsidRDefault="008F5679" w:rsidP="008F567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4970266" w14:textId="77777777" w:rsidR="003A11E6" w:rsidRPr="00541C93" w:rsidRDefault="003A11E6" w:rsidP="003A11E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B28E506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71B311C" w14:textId="08A4300B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o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utcomes testing scores / compliance testing and internal audit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scores.</w:t>
            </w:r>
          </w:p>
          <w:p w14:paraId="6937EA8B" w14:textId="77777777" w:rsidR="009E22D0" w:rsidRPr="00541C93" w:rsidRDefault="009E22D0" w:rsidP="003F00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50F37519" w14:textId="77777777" w:rsidTr="748467DD">
        <w:trPr>
          <w:trHeight w:val="591"/>
        </w:trPr>
        <w:tc>
          <w:tcPr>
            <w:tcW w:w="6346" w:type="dxa"/>
          </w:tcPr>
          <w:p w14:paraId="51A46181" w14:textId="77777777" w:rsidR="00415EED" w:rsidRDefault="00415EED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1D183" w14:textId="74DFACA9" w:rsidR="009E22D0" w:rsidRPr="00541C93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2CCFDA6D" w14:textId="09674692" w:rsidR="00874582" w:rsidRPr="00541C93" w:rsidRDefault="00AD0131" w:rsidP="005C4409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Build and maintain positive relationships with a wide range of stakeholders</w:t>
            </w:r>
            <w:r w:rsidR="00CB6DD1">
              <w:rPr>
                <w:rFonts w:ascii="Arial" w:eastAsia="Calibri" w:hAnsi="Arial" w:cs="Arial"/>
                <w:sz w:val="20"/>
                <w:szCs w:val="20"/>
              </w:rPr>
              <w:t xml:space="preserve"> and subcontractors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taking a collaborative approach to ways of working and problem solving.</w:t>
            </w:r>
          </w:p>
          <w:p w14:paraId="02F46C31" w14:textId="668BBD80" w:rsidR="00051EAF" w:rsidRPr="00541C93" w:rsidRDefault="00051EAF" w:rsidP="2CEF58D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1C93">
              <w:rPr>
                <w:rFonts w:ascii="Arial" w:eastAsia="Arial" w:hAnsi="Arial" w:cs="Arial"/>
                <w:sz w:val="20"/>
                <w:szCs w:val="20"/>
              </w:rPr>
              <w:t>Take personal accountability for own training, competence, performance and</w:t>
            </w:r>
            <w:r w:rsidR="00FC1F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41C93">
              <w:rPr>
                <w:rFonts w:ascii="Arial" w:eastAsia="Arial" w:hAnsi="Arial" w:cs="Arial"/>
                <w:sz w:val="20"/>
                <w:szCs w:val="20"/>
              </w:rPr>
              <w:t>comply with all governance, policy standards and processes.</w:t>
            </w:r>
          </w:p>
          <w:p w14:paraId="2DFF78CD" w14:textId="77777777" w:rsidR="003974C0" w:rsidRDefault="00051EAF" w:rsidP="00E154E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1C93">
              <w:rPr>
                <w:rFonts w:ascii="Arial" w:eastAsia="Arial" w:hAnsi="Arial" w:cs="Arial"/>
                <w:sz w:val="20"/>
                <w:szCs w:val="20"/>
              </w:rPr>
              <w:t>Take an active role in promoting a more inclusive environment which aligns with our commitment to celebrate and promote diversity.</w:t>
            </w:r>
          </w:p>
          <w:p w14:paraId="0A731705" w14:textId="761BF938" w:rsidR="004426AE" w:rsidRPr="00541C93" w:rsidRDefault="004426AE" w:rsidP="004426AE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C46CA3E" w14:textId="77777777" w:rsidR="003A11E6" w:rsidRPr="00541C93" w:rsidRDefault="003A11E6" w:rsidP="003A11E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B25AD52" w14:textId="77777777" w:rsidR="00EA0DD9" w:rsidRPr="00EA0DD9" w:rsidRDefault="00EA0DD9" w:rsidP="00EA0DD9">
            <w:pPr>
              <w:tabs>
                <w:tab w:val="left" w:pos="31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C9ABE7" w14:textId="628C03CA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Compliance with Training </w:t>
            </w:r>
          </w:p>
          <w:p w14:paraId="6E71F01D" w14:textId="344F1461" w:rsidR="003F0076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One to one / performance review meetings </w:t>
            </w:r>
          </w:p>
          <w:p w14:paraId="5B729117" w14:textId="0554E198" w:rsidR="00AC4C17" w:rsidRDefault="00AC4C17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2F70FA90" w14:textId="2B136C54" w:rsidR="00AC4C17" w:rsidRDefault="00AC4C17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ratings</w:t>
            </w:r>
          </w:p>
          <w:p w14:paraId="09BAF002" w14:textId="60682D66" w:rsidR="00AC4C17" w:rsidRPr="00541C93" w:rsidRDefault="00AC4C17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PDP</w:t>
            </w:r>
          </w:p>
          <w:p w14:paraId="66CFE790" w14:textId="77777777" w:rsidR="009E22D0" w:rsidRPr="00541C93" w:rsidRDefault="009E22D0" w:rsidP="00FC1FA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3FD280F2" w14:textId="77777777" w:rsidTr="748467DD">
        <w:trPr>
          <w:trHeight w:val="591"/>
        </w:trPr>
        <w:tc>
          <w:tcPr>
            <w:tcW w:w="6346" w:type="dxa"/>
          </w:tcPr>
          <w:p w14:paraId="26E02E9A" w14:textId="77777777" w:rsidR="009E22D0" w:rsidRPr="00541C93" w:rsidRDefault="009E22D0" w:rsidP="00B75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AF4C648" w14:textId="6E0D212A" w:rsidR="00CB2F3C" w:rsidRPr="00541C93" w:rsidRDefault="00E7725E" w:rsidP="00CB2F3C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Maintain a strong culture of compliance across all </w:t>
            </w:r>
            <w:r w:rsidR="00FC1FA8">
              <w:rPr>
                <w:rFonts w:ascii="Arial" w:eastAsia="Calibri" w:hAnsi="Arial" w:cs="Arial"/>
                <w:sz w:val="20"/>
                <w:szCs w:val="20"/>
              </w:rPr>
              <w:t xml:space="preserve">subcontractors, Challenging/escalating 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>if required to ensure processes are followed</w:t>
            </w:r>
            <w:r w:rsidR="00FC1FA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83EA2D2" w14:textId="26365406" w:rsidR="003F0076" w:rsidRPr="00541C93" w:rsidRDefault="003F0076" w:rsidP="00E7725E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Contribute to an environment where all colleagues recognise the importance of adherence to policies and procedures, risk identification and management</w:t>
            </w:r>
            <w:r w:rsidR="00FC4081" w:rsidRPr="00541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7B011A" w14:textId="15FF6AB3" w:rsidR="00EB1F16" w:rsidRDefault="00EB1F16" w:rsidP="00E7725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mitigate potential</w:t>
            </w:r>
            <w:r w:rsidR="00937281">
              <w:rPr>
                <w:rFonts w:ascii="Arial" w:hAnsi="Arial" w:cs="Arial"/>
                <w:sz w:val="20"/>
                <w:szCs w:val="20"/>
              </w:rPr>
              <w:t xml:space="preserve"> risks linked to partners (financial, compliance etc) before they become an issue</w:t>
            </w:r>
          </w:p>
          <w:p w14:paraId="3D1EC344" w14:textId="77777777" w:rsidR="00E40940" w:rsidRPr="00541C93" w:rsidRDefault="00E40940" w:rsidP="00E4094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52C7C" w14:textId="77777777" w:rsidR="0097616B" w:rsidRPr="00541C93" w:rsidRDefault="0097616B" w:rsidP="009761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9D83529" w14:textId="77777777" w:rsidR="00FC4081" w:rsidRPr="00541C93" w:rsidRDefault="00FC4081" w:rsidP="00FC408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4F34EFB" w14:textId="77777777" w:rsidR="008D49C7" w:rsidRPr="008D49C7" w:rsidRDefault="008D49C7" w:rsidP="008D49C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AD83E8" w14:textId="41C09A7C" w:rsidR="005C4409" w:rsidRPr="00541C93" w:rsidRDefault="005C4409" w:rsidP="005C440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02319F32" w14:textId="496BF0CD" w:rsidR="00FC1FA8" w:rsidRPr="00FC1FA8" w:rsidRDefault="00FD5935" w:rsidP="00D027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Statutory</w:t>
            </w:r>
            <w:r w:rsidR="00FC1FA8">
              <w:rPr>
                <w:rFonts w:ascii="Arial" w:hAnsi="Arial" w:cs="Arial"/>
                <w:sz w:val="20"/>
                <w:szCs w:val="20"/>
              </w:rPr>
              <w:t xml:space="preserve"> compliance measures</w:t>
            </w:r>
          </w:p>
          <w:p w14:paraId="0BA4796A" w14:textId="08BE28D8" w:rsidR="009E22D0" w:rsidRPr="00541C93" w:rsidRDefault="003F0076" w:rsidP="00D027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Report </w:t>
            </w:r>
            <w:r w:rsidR="000660EC" w:rsidRPr="00541C93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risk </w:t>
            </w:r>
          </w:p>
        </w:tc>
      </w:tr>
    </w:tbl>
    <w:p w14:paraId="09A9888D" w14:textId="77777777" w:rsidR="00FB4711" w:rsidRPr="00541C93" w:rsidRDefault="00FB4711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41C93" w14:paraId="76726EFC" w14:textId="77777777" w:rsidTr="748467DD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7E84B62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0D75A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41C93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41C93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41C93" w14:paraId="272E8A5E" w14:textId="77777777" w:rsidTr="00FD5935">
        <w:trPr>
          <w:trHeight w:val="1740"/>
        </w:trPr>
        <w:tc>
          <w:tcPr>
            <w:tcW w:w="10490" w:type="dxa"/>
          </w:tcPr>
          <w:p w14:paraId="3CBC1736" w14:textId="3B892746" w:rsidR="00F34D51" w:rsidRPr="00541C93" w:rsidRDefault="00F34D51" w:rsidP="003F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ED8BC0" w14:textId="53BDCC3A" w:rsidR="00BC4DD9" w:rsidRPr="00541C93" w:rsidRDefault="25B0AC64" w:rsidP="00AC4C17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A514B3">
              <w:rPr>
                <w:rFonts w:ascii="Arial" w:hAnsi="Arial" w:cs="Arial"/>
                <w:sz w:val="20"/>
                <w:szCs w:val="20"/>
              </w:rPr>
              <w:t>Corporate Services</w:t>
            </w:r>
            <w:r w:rsidR="007D7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E3A8EC4" w:rsidRPr="00541C93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reporting and performance </w:t>
            </w:r>
            <w:r w:rsidR="3E3A8EC4" w:rsidRPr="00541C93">
              <w:rPr>
                <w:rFonts w:ascii="Arial" w:hAnsi="Arial" w:cs="Arial"/>
                <w:sz w:val="20"/>
                <w:szCs w:val="20"/>
              </w:rPr>
              <w:t>metrics.</w:t>
            </w:r>
          </w:p>
          <w:p w14:paraId="50EA0E29" w14:textId="78CCDDDC" w:rsidR="00316E60" w:rsidRPr="00541C93" w:rsidRDefault="00316E60" w:rsidP="00AC4C1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Assist in the development and maintenance of management reporting and actively identify and remove bottle necks to </w:t>
            </w:r>
            <w:r w:rsidR="00FD5935">
              <w:rPr>
                <w:rFonts w:ascii="Arial" w:hAnsi="Arial" w:cs="Arial"/>
                <w:iCs/>
                <w:sz w:val="20"/>
                <w:szCs w:val="20"/>
              </w:rPr>
              <w:t>improve efficiency/costs</w:t>
            </w:r>
          </w:p>
          <w:p w14:paraId="1EE43FC6" w14:textId="38FACC40" w:rsidR="004426AE" w:rsidRDefault="00E40940" w:rsidP="00AC4C17">
            <w:pPr>
              <w:numPr>
                <w:ilvl w:val="0"/>
                <w:numId w:val="20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7189B2B2" w14:textId="57311D78" w:rsidR="00AC4C17" w:rsidRDefault="00AC4C17" w:rsidP="00AC4C17">
            <w:pPr>
              <w:numPr>
                <w:ilvl w:val="0"/>
                <w:numId w:val="20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Display MPS Values</w:t>
            </w:r>
          </w:p>
          <w:p w14:paraId="133B5A29" w14:textId="7E4E8AD3" w:rsidR="00AC4C17" w:rsidRPr="00AC4C17" w:rsidRDefault="00AC4C17" w:rsidP="00AC4C1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Keep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up to date with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evolving legislation and best practice; identify and recommend opportunities for </w:t>
            </w:r>
            <w:r>
              <w:rPr>
                <w:rFonts w:ascii="Arial" w:hAnsi="Arial" w:cs="Arial"/>
                <w:sz w:val="20"/>
                <w:szCs w:val="20"/>
              </w:rPr>
              <w:t>the team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to become more efficient and effective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DF14D2" w14:textId="77777777" w:rsidR="004426AE" w:rsidRPr="00541C93" w:rsidRDefault="004426AE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CA4F" w14:textId="77777777" w:rsidR="00874582" w:rsidRPr="00541C93" w:rsidRDefault="00874582" w:rsidP="00B75089">
      <w:pPr>
        <w:rPr>
          <w:rFonts w:ascii="Arial" w:hAnsi="Arial" w:cs="Arial"/>
          <w:sz w:val="20"/>
          <w:szCs w:val="20"/>
        </w:rPr>
      </w:pPr>
    </w:p>
    <w:p w14:paraId="3B401E68" w14:textId="25DB4450" w:rsidR="005C10C4" w:rsidRPr="00541C93" w:rsidRDefault="005C10C4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4453A" w:rsidRPr="0054453A" w14:paraId="6F293D63" w14:textId="77777777" w:rsidTr="00FA07D3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533D3BBA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453A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4453A" w:rsidRPr="0054453A" w14:paraId="50559DDA" w14:textId="77777777" w:rsidTr="00FA07D3">
        <w:trPr>
          <w:trHeight w:val="227"/>
        </w:trPr>
        <w:tc>
          <w:tcPr>
            <w:tcW w:w="10490" w:type="dxa"/>
          </w:tcPr>
          <w:p w14:paraId="1C24F19C" w14:textId="77777777" w:rsidR="0054453A" w:rsidRPr="0054453A" w:rsidRDefault="0054453A" w:rsidP="0054453A">
            <w:pPr>
              <w:numPr>
                <w:ilvl w:val="0"/>
                <w:numId w:val="14"/>
              </w:numPr>
              <w:spacing w:beforeAutospacing="1" w:after="200" w:afterAutospacing="1" w:line="276" w:lineRule="auto"/>
              <w:ind w:left="720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4453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None</w:t>
            </w:r>
          </w:p>
        </w:tc>
      </w:tr>
    </w:tbl>
    <w:p w14:paraId="7F95862A" w14:textId="77777777" w:rsidR="0054453A" w:rsidRPr="0054453A" w:rsidRDefault="0054453A" w:rsidP="0054453A">
      <w:pPr>
        <w:spacing w:after="200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4453A" w:rsidRPr="0054453A" w14:paraId="26A03E47" w14:textId="77777777" w:rsidTr="00FA07D3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2648EE86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3487F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453A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4E31045B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0F731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453A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7397EE5C" w14:textId="77777777" w:rsidR="0054453A" w:rsidRPr="0054453A" w:rsidRDefault="0054453A" w:rsidP="0054453A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4453A" w:rsidRPr="0054453A" w14:paraId="6CCC3FF7" w14:textId="77777777" w:rsidTr="00FA07D3">
        <w:trPr>
          <w:trHeight w:val="141"/>
        </w:trPr>
        <w:tc>
          <w:tcPr>
            <w:tcW w:w="6008" w:type="dxa"/>
          </w:tcPr>
          <w:p w14:paraId="6C81F132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500F0F56" w14:textId="77777777" w:rsidR="0054453A" w:rsidRPr="0054453A" w:rsidRDefault="0054453A" w:rsidP="0054453A">
            <w:pPr>
              <w:tabs>
                <w:tab w:val="center" w:pos="2133"/>
              </w:tabs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  <w:r w:rsidRPr="0054453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4453A" w:rsidRPr="0054453A" w14:paraId="5441BED0" w14:textId="77777777" w:rsidTr="00FA07D3">
        <w:trPr>
          <w:trHeight w:val="211"/>
        </w:trPr>
        <w:tc>
          <w:tcPr>
            <w:tcW w:w="6008" w:type="dxa"/>
          </w:tcPr>
          <w:p w14:paraId="72BECBE2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1CA07F56" w14:textId="77777777" w:rsidR="0054453A" w:rsidRPr="0054453A" w:rsidRDefault="0054453A" w:rsidP="0054453A">
            <w:pPr>
              <w:rPr>
                <w:rFonts w:ascii="Arial" w:hAnsi="Arial" w:cs="Arial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4453A" w:rsidRPr="0054453A" w14:paraId="677AEA0E" w14:textId="77777777" w:rsidTr="00FA07D3">
        <w:trPr>
          <w:trHeight w:val="211"/>
        </w:trPr>
        <w:tc>
          <w:tcPr>
            <w:tcW w:w="6008" w:type="dxa"/>
          </w:tcPr>
          <w:p w14:paraId="794210B8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768856E8" w14:textId="77777777" w:rsidR="0054453A" w:rsidRPr="0054453A" w:rsidRDefault="0054453A" w:rsidP="0054453A">
            <w:pPr>
              <w:rPr>
                <w:rFonts w:ascii="Arial" w:hAnsi="Arial" w:cs="Arial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4453A" w:rsidRPr="0054453A" w14:paraId="0CD16FD0" w14:textId="77777777" w:rsidTr="00FA07D3">
        <w:trPr>
          <w:trHeight w:val="211"/>
        </w:trPr>
        <w:tc>
          <w:tcPr>
            <w:tcW w:w="6008" w:type="dxa"/>
          </w:tcPr>
          <w:p w14:paraId="71720AF4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3F1B13C0" w14:textId="77777777" w:rsidR="0054453A" w:rsidRPr="0054453A" w:rsidRDefault="0054453A" w:rsidP="0054453A">
            <w:pPr>
              <w:rPr>
                <w:rFonts w:ascii="Arial" w:hAnsi="Arial" w:cs="Arial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4453A" w:rsidRPr="0054453A" w14:paraId="5F4096E8" w14:textId="77777777" w:rsidTr="00FA07D3">
        <w:trPr>
          <w:trHeight w:val="211"/>
        </w:trPr>
        <w:tc>
          <w:tcPr>
            <w:tcW w:w="6008" w:type="dxa"/>
          </w:tcPr>
          <w:p w14:paraId="59BB47D7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0BFF5AD" w14:textId="77777777" w:rsidR="0054453A" w:rsidRPr="0054453A" w:rsidRDefault="0054453A" w:rsidP="0054453A">
            <w:pPr>
              <w:rPr>
                <w:rFonts w:ascii="Arial" w:hAnsi="Arial" w:cs="Arial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54453A" w:rsidRPr="0054453A" w14:paraId="432A7A40" w14:textId="77777777" w:rsidTr="00FA07D3">
        <w:trPr>
          <w:trHeight w:val="211"/>
        </w:trPr>
        <w:tc>
          <w:tcPr>
            <w:tcW w:w="6008" w:type="dxa"/>
          </w:tcPr>
          <w:p w14:paraId="4BEA30CD" w14:textId="77777777" w:rsidR="0054453A" w:rsidRPr="0054453A" w:rsidRDefault="0054453A" w:rsidP="0054453A">
            <w:pPr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725F0AB3" w14:textId="77777777" w:rsidR="0054453A" w:rsidRPr="0054453A" w:rsidRDefault="0054453A" w:rsidP="0054453A">
            <w:pPr>
              <w:rPr>
                <w:rFonts w:ascii="Arial" w:hAnsi="Arial" w:cs="Arial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221"/>
        <w:gridCol w:w="3260"/>
        <w:gridCol w:w="3515"/>
      </w:tblGrid>
      <w:tr w:rsidR="0054453A" w:rsidRPr="0054453A" w14:paraId="62E10218" w14:textId="77777777" w:rsidTr="00FA07D3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FA0C197" w14:textId="77777777" w:rsidR="0054453A" w:rsidRPr="0054453A" w:rsidRDefault="0054453A" w:rsidP="0054453A">
            <w:pPr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652F9D9D" w14:textId="77777777" w:rsidR="0054453A" w:rsidRPr="0054453A" w:rsidRDefault="0054453A" w:rsidP="0054453A">
            <w:pPr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EBE6F1E" w14:textId="77777777" w:rsidR="0054453A" w:rsidRPr="0054453A" w:rsidRDefault="0054453A" w:rsidP="0054453A">
            <w:pPr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1AB9BEFF" w14:textId="77777777" w:rsidR="0054453A" w:rsidRPr="0054453A" w:rsidRDefault="0054453A" w:rsidP="0054453A">
            <w:pPr>
              <w:spacing w:beforeAutospacing="0" w:afterAutospacing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</w:tr>
      <w:tr w:rsidR="0054453A" w:rsidRPr="0054453A" w14:paraId="6797D236" w14:textId="77777777" w:rsidTr="00FA07D3">
        <w:trPr>
          <w:cantSplit/>
          <w:trHeight w:val="2217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D1A3B2B" w14:textId="77777777" w:rsidR="0054453A" w:rsidRPr="0054453A" w:rsidRDefault="0054453A" w:rsidP="0054453A">
            <w:pPr>
              <w:spacing w:beforeAutospacing="0" w:afterAutospacing="0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221" w:type="dxa"/>
          </w:tcPr>
          <w:p w14:paraId="225CC268" w14:textId="77777777" w:rsidR="0054453A" w:rsidRPr="0054453A" w:rsidRDefault="0054453A" w:rsidP="0054453A">
            <w:pPr>
              <w:numPr>
                <w:ilvl w:val="0"/>
                <w:numId w:val="14"/>
              </w:numPr>
              <w:spacing w:before="120" w:beforeAutospacing="0" w:after="200" w:afterAutospacing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Knowledge of general administration skills </w:t>
            </w:r>
          </w:p>
          <w:p w14:paraId="5B80C9CD" w14:textId="77777777" w:rsidR="0054453A" w:rsidRPr="0054453A" w:rsidRDefault="0054453A" w:rsidP="0054453A">
            <w:pPr>
              <w:numPr>
                <w:ilvl w:val="0"/>
                <w:numId w:val="14"/>
              </w:numPr>
              <w:spacing w:before="120" w:beforeAutospacing="0" w:after="200" w:afterAutospacing="0" w:line="276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IOSH Managing Safely or similar </w:t>
            </w:r>
          </w:p>
          <w:p w14:paraId="76CAAF49" w14:textId="77777777" w:rsidR="0054453A" w:rsidRPr="0054453A" w:rsidRDefault="0054453A" w:rsidP="0054453A">
            <w:pPr>
              <w:numPr>
                <w:ilvl w:val="0"/>
                <w:numId w:val="14"/>
              </w:numPr>
              <w:spacing w:before="100" w:beforeAutospacing="0" w:after="200" w:afterAutospacing="0" w:line="276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4453A">
              <w:rPr>
                <w:rFonts w:ascii="Arial" w:hAnsi="Arial" w:cs="Arial"/>
                <w:bCs/>
                <w:sz w:val="20"/>
                <w:szCs w:val="20"/>
              </w:rPr>
              <w:t>A good understanding of The Health and Safety at</w:t>
            </w:r>
          </w:p>
          <w:p w14:paraId="58B38059" w14:textId="76ED3191" w:rsidR="0054453A" w:rsidRPr="0054453A" w:rsidRDefault="0054453A" w:rsidP="0054453A">
            <w:pPr>
              <w:spacing w:before="100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4453A">
              <w:rPr>
                <w:rFonts w:ascii="Arial" w:hAnsi="Arial" w:cs="Arial"/>
                <w:bCs/>
                <w:sz w:val="20"/>
                <w:szCs w:val="20"/>
              </w:rPr>
              <w:t>Work Act 1974</w:t>
            </w:r>
          </w:p>
          <w:p w14:paraId="794FC7D8" w14:textId="77777777" w:rsidR="0054453A" w:rsidRDefault="0054453A" w:rsidP="0054453A">
            <w:pPr>
              <w:spacing w:before="100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A6FDF7" w14:textId="77777777" w:rsidR="00AC4C17" w:rsidRDefault="00AC4C17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Knowledge and application of Stat</w:t>
            </w:r>
            <w:r>
              <w:rPr>
                <w:rFonts w:ascii="Arial" w:hAnsi="Arial" w:cs="Arial"/>
                <w:sz w:val="20"/>
                <w:szCs w:val="20"/>
              </w:rPr>
              <w:t xml:space="preserve">utory </w:t>
            </w:r>
            <w:r w:rsidRPr="0054453A">
              <w:rPr>
                <w:rFonts w:ascii="Arial" w:hAnsi="Arial" w:cs="Arial"/>
                <w:sz w:val="20"/>
                <w:szCs w:val="20"/>
              </w:rPr>
              <w:t>comp</w:t>
            </w:r>
            <w:r>
              <w:rPr>
                <w:rFonts w:ascii="Arial" w:hAnsi="Arial" w:cs="Arial"/>
                <w:sz w:val="20"/>
                <w:szCs w:val="20"/>
              </w:rPr>
              <w:t>liance</w:t>
            </w:r>
          </w:p>
          <w:p w14:paraId="003D9496" w14:textId="77777777" w:rsidR="0054453A" w:rsidRPr="0054453A" w:rsidRDefault="0054453A" w:rsidP="0054453A">
            <w:pPr>
              <w:spacing w:before="120" w:beforeAutospacing="0" w:afterAutospacing="0"/>
              <w:ind w:left="3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579DC17" w14:textId="77777777" w:rsidR="0054453A" w:rsidRPr="0054453A" w:rsidRDefault="0054453A" w:rsidP="0054453A">
            <w:pPr>
              <w:spacing w:before="120" w:beforeAutospacing="0" w:afterAutospacing="0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EFD3A07" w14:textId="77777777" w:rsidR="0054453A" w:rsidRPr="0054453A" w:rsidRDefault="0054453A" w:rsidP="0054453A">
            <w:pPr>
              <w:spacing w:before="120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3A8008D" w14:textId="77777777" w:rsidR="0054453A" w:rsidRPr="0054453A" w:rsidRDefault="0054453A" w:rsidP="0054453A">
            <w:pPr>
              <w:spacing w:before="100"/>
              <w:ind w:left="282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29EB2E" w14:textId="1FCCE379" w:rsidR="0054453A" w:rsidRPr="0054453A" w:rsidRDefault="00AC4C17" w:rsidP="0054453A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Proficient using </w:t>
            </w:r>
            <w:r w:rsidR="0054453A" w:rsidRPr="0054453A">
              <w:rPr>
                <w:rFonts w:ascii="Arial" w:hAnsi="Arial" w:cs="Arial"/>
                <w:sz w:val="20"/>
                <w:szCs w:val="20"/>
              </w:rPr>
              <w:t>Microsoft Office packages.</w:t>
            </w:r>
          </w:p>
          <w:p w14:paraId="763001E6" w14:textId="04938569" w:rsidR="0054453A" w:rsidRPr="0054453A" w:rsidRDefault="0054453A" w:rsidP="0054453A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Able to communicate effectively.</w:t>
            </w:r>
          </w:p>
          <w:p w14:paraId="2AC5CB9E" w14:textId="77777777" w:rsidR="0054453A" w:rsidRPr="0054453A" w:rsidRDefault="0054453A" w:rsidP="0054453A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Able to adapt to change</w:t>
            </w:r>
          </w:p>
          <w:p w14:paraId="01213801" w14:textId="2A71B8D4" w:rsidR="0054453A" w:rsidRPr="0054453A" w:rsidRDefault="00397D8F" w:rsidP="0054453A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Organised, with s</w:t>
            </w:r>
            <w:r w:rsidR="0054453A" w:rsidRPr="0054453A">
              <w:rPr>
                <w:rFonts w:ascii="Arial" w:hAnsi="Arial" w:cs="Arial"/>
                <w:sz w:val="20"/>
                <w:szCs w:val="20"/>
              </w:rPr>
              <w:t>trong attention to detail to spot errors that could cause rework / reputational damage.</w:t>
            </w:r>
          </w:p>
          <w:p w14:paraId="6D3A293B" w14:textId="77777777" w:rsidR="0054453A" w:rsidRDefault="0054453A" w:rsidP="0054453A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Proactive management of workload to pre-empt requirements from stakeholders.</w:t>
            </w:r>
          </w:p>
          <w:p w14:paraId="726E3C67" w14:textId="25BB0B22" w:rsidR="0054453A" w:rsidRPr="0054453A" w:rsidRDefault="0054453A" w:rsidP="00022596">
            <w:pPr>
              <w:numPr>
                <w:ilvl w:val="0"/>
                <w:numId w:val="14"/>
              </w:numPr>
              <w:suppressAutoHyphens/>
              <w:autoSpaceDN w:val="0"/>
              <w:spacing w:before="100" w:after="20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Management of P</w:t>
            </w:r>
            <w:r w:rsidR="001D4989">
              <w:rPr>
                <w:rFonts w:ascii="Arial" w:hAnsi="Arial" w:cs="Arial"/>
                <w:sz w:val="20"/>
                <w:szCs w:val="20"/>
              </w:rPr>
              <w:t>lanned Preventative Maintenance</w:t>
            </w:r>
          </w:p>
        </w:tc>
        <w:tc>
          <w:tcPr>
            <w:tcW w:w="3515" w:type="dxa"/>
          </w:tcPr>
          <w:p w14:paraId="0A10248C" w14:textId="77777777" w:rsidR="0054453A" w:rsidRPr="00AC4C17" w:rsidRDefault="0054453A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Experience of working in an in operations support/office administration.</w:t>
            </w:r>
          </w:p>
          <w:p w14:paraId="2856C7E2" w14:textId="77777777" w:rsidR="0054453A" w:rsidRPr="00AC4C17" w:rsidRDefault="0054453A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53A">
              <w:rPr>
                <w:rFonts w:ascii="Arial" w:hAnsi="Arial" w:cs="Arial"/>
                <w:sz w:val="20"/>
                <w:szCs w:val="20"/>
              </w:rPr>
              <w:t>Experience of Health and Safety management in the workplace</w:t>
            </w:r>
          </w:p>
          <w:p w14:paraId="1BF13C4F" w14:textId="77777777" w:rsidR="0054453A" w:rsidRPr="00AC4C17" w:rsidRDefault="0054453A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4C17">
              <w:rPr>
                <w:rFonts w:ascii="Arial" w:hAnsi="Arial" w:cs="Arial"/>
                <w:sz w:val="20"/>
                <w:szCs w:val="20"/>
              </w:rPr>
              <w:t>Experience with collaborating internal and external stakeholders</w:t>
            </w:r>
          </w:p>
          <w:p w14:paraId="10A3664A" w14:textId="29569FEC" w:rsidR="0054453A" w:rsidRPr="0054453A" w:rsidRDefault="0054453A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C4C17">
              <w:rPr>
                <w:rFonts w:ascii="Arial" w:hAnsi="Arial" w:cs="Arial"/>
                <w:sz w:val="20"/>
                <w:szCs w:val="20"/>
              </w:rPr>
              <w:t>Experience Workorder management systems</w:t>
            </w:r>
          </w:p>
        </w:tc>
      </w:tr>
      <w:tr w:rsidR="0054453A" w:rsidRPr="0054453A" w14:paraId="4151E667" w14:textId="77777777" w:rsidTr="00FA07D3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6685DB3" w14:textId="77777777" w:rsidR="0054453A" w:rsidRPr="0054453A" w:rsidRDefault="0054453A" w:rsidP="0054453A">
            <w:pPr>
              <w:spacing w:beforeAutospacing="0" w:afterAutospacing="0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4453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3221" w:type="dxa"/>
          </w:tcPr>
          <w:p w14:paraId="2E447C09" w14:textId="77777777" w:rsidR="00AC4C17" w:rsidRDefault="00AC4C17" w:rsidP="00AC4C1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Understanding of the practical application of CDM </w:t>
            </w:r>
          </w:p>
          <w:p w14:paraId="70ADE292" w14:textId="453DA300" w:rsidR="0054453A" w:rsidRDefault="00AC4C17" w:rsidP="0054453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54453A">
              <w:rPr>
                <w:rFonts w:ascii="Arial" w:hAnsi="Arial" w:cs="Arial"/>
                <w:sz w:val="20"/>
                <w:szCs w:val="20"/>
              </w:rPr>
              <w:t>lectrical/Air con qualification.  BS7671 Electrical 19</w:t>
            </w:r>
          </w:p>
          <w:p w14:paraId="019963DA" w14:textId="77777777" w:rsidR="0054453A" w:rsidRPr="0054453A" w:rsidRDefault="0054453A" w:rsidP="0054453A">
            <w:pPr>
              <w:spacing w:before="120" w:beforeAutospacing="0" w:after="200" w:afterAutospacing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</w:tcPr>
          <w:p w14:paraId="1B41CC48" w14:textId="2B4D4EE0" w:rsidR="0054453A" w:rsidRDefault="0054453A" w:rsidP="0054453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work outside normal working hours to accommodate the needs of the business</w:t>
            </w:r>
          </w:p>
          <w:p w14:paraId="63BE6B08" w14:textId="77777777" w:rsidR="0054453A" w:rsidRDefault="0054453A" w:rsidP="0054453A">
            <w:pPr>
              <w:pStyle w:val="ListParagraph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985C90" w14:textId="77777777" w:rsidR="0054453A" w:rsidRPr="0054453A" w:rsidRDefault="0054453A" w:rsidP="0054453A">
            <w:pPr>
              <w:spacing w:beforeAutospacing="0" w:afterAutospacing="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515" w:type="dxa"/>
          </w:tcPr>
          <w:p w14:paraId="7A30DC6E" w14:textId="77777777" w:rsidR="0054453A" w:rsidRPr="00AC4C17" w:rsidRDefault="0054453A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after="20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4C17">
              <w:rPr>
                <w:rFonts w:ascii="Arial" w:hAnsi="Arial" w:cs="Arial"/>
                <w:sz w:val="20"/>
                <w:szCs w:val="20"/>
              </w:rPr>
              <w:t>Experience of permitting</w:t>
            </w:r>
          </w:p>
          <w:p w14:paraId="78BE0A3F" w14:textId="78A677F6" w:rsidR="00AC4C17" w:rsidRPr="0054453A" w:rsidRDefault="00AC4C17" w:rsidP="00AC4C17">
            <w:pPr>
              <w:numPr>
                <w:ilvl w:val="0"/>
                <w:numId w:val="14"/>
              </w:numPr>
              <w:suppressAutoHyphens/>
              <w:autoSpaceDN w:val="0"/>
              <w:spacing w:before="100" w:beforeAutospacing="0" w:after="200" w:afterAutospacing="0" w:line="256" w:lineRule="auto"/>
              <w:ind w:left="720"/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</w:t>
            </w:r>
            <w:r w:rsidRPr="0054453A">
              <w:rPr>
                <w:rFonts w:ascii="Arial" w:hAnsi="Arial" w:cs="Arial"/>
                <w:sz w:val="20"/>
                <w:szCs w:val="20"/>
              </w:rPr>
              <w:t>anag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54453A">
              <w:rPr>
                <w:rFonts w:ascii="Arial" w:hAnsi="Arial" w:cs="Arial"/>
                <w:sz w:val="20"/>
                <w:szCs w:val="20"/>
              </w:rPr>
              <w:t xml:space="preserve"> subcontractors</w:t>
            </w:r>
          </w:p>
          <w:p w14:paraId="1423ED43" w14:textId="647D7108" w:rsidR="00AC4C17" w:rsidRPr="0054453A" w:rsidRDefault="00AC4C17" w:rsidP="00AC4C17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00C6B2" w14:textId="77777777" w:rsidR="0054453A" w:rsidRPr="0054453A" w:rsidRDefault="0054453A" w:rsidP="0054453A">
      <w:pPr>
        <w:spacing w:after="200"/>
        <w:rPr>
          <w:rFonts w:ascii="Arial" w:hAnsi="Arial" w:cs="Arial"/>
        </w:rPr>
      </w:pPr>
    </w:p>
    <w:p w14:paraId="1893EE17" w14:textId="77777777" w:rsidR="0056188D" w:rsidRPr="00541C93" w:rsidRDefault="0056188D" w:rsidP="004426AE">
      <w:pPr>
        <w:rPr>
          <w:rFonts w:ascii="Arial" w:hAnsi="Arial" w:cs="Arial"/>
          <w:sz w:val="20"/>
          <w:szCs w:val="20"/>
        </w:rPr>
      </w:pPr>
    </w:p>
    <w:sectPr w:rsidR="0056188D" w:rsidRPr="00541C93" w:rsidSect="002B5F7E">
      <w:headerReference w:type="default" r:id="rId12"/>
      <w:footerReference w:type="default" r:id="rId13"/>
      <w:pgSz w:w="11909" w:h="16834" w:code="9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A82B" w14:textId="77777777" w:rsidR="00834834" w:rsidRDefault="00834834" w:rsidP="009E22D0">
      <w:r>
        <w:separator/>
      </w:r>
    </w:p>
  </w:endnote>
  <w:endnote w:type="continuationSeparator" w:id="0">
    <w:p w14:paraId="580F6A54" w14:textId="77777777" w:rsidR="00834834" w:rsidRDefault="00834834" w:rsidP="009E22D0">
      <w:r>
        <w:continuationSeparator/>
      </w:r>
    </w:p>
  </w:endnote>
  <w:endnote w:type="continuationNotice" w:id="1">
    <w:p w14:paraId="54ADA63B" w14:textId="77777777" w:rsidR="00834834" w:rsidRDefault="0083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480B" w14:textId="77777777" w:rsidR="008A357F" w:rsidRPr="008A357F" w:rsidRDefault="008A357F" w:rsidP="008A357F">
    <w:pPr>
      <w:pBdr>
        <w:bottom w:val="single" w:sz="6" w:space="0" w:color="auto"/>
      </w:pBdr>
      <w:tabs>
        <w:tab w:val="center" w:pos="4513"/>
        <w:tab w:val="right" w:pos="9026"/>
      </w:tabs>
      <w:rPr>
        <w:rFonts w:ascii="Arial" w:eastAsiaTheme="minorHAnsi" w:hAnsi="Arial" w:cs="Arial"/>
        <w:lang w:eastAsia="en-US"/>
      </w:rPr>
    </w:pPr>
  </w:p>
  <w:p w14:paraId="47CD8D5A" w14:textId="36A9C634" w:rsidR="008A357F" w:rsidRPr="008A357F" w:rsidRDefault="008A357F" w:rsidP="00845415">
    <w:pPr>
      <w:tabs>
        <w:tab w:val="center" w:pos="4513"/>
        <w:tab w:val="right" w:pos="9026"/>
      </w:tabs>
      <w:rPr>
        <w:rFonts w:ascii="Arial" w:eastAsiaTheme="minorHAnsi" w:hAnsi="Arial" w:cs="Arial"/>
        <w:sz w:val="16"/>
        <w:lang w:eastAsia="en-US"/>
      </w:rPr>
    </w:pPr>
  </w:p>
  <w:p w14:paraId="33B48379" w14:textId="77777777" w:rsidR="008A357F" w:rsidRPr="008A357F" w:rsidRDefault="008A357F" w:rsidP="008A357F">
    <w:pPr>
      <w:tabs>
        <w:tab w:val="center" w:pos="4513"/>
        <w:tab w:val="right" w:pos="9026"/>
      </w:tabs>
      <w:spacing w:after="200" w:line="276" w:lineRule="auto"/>
    </w:pPr>
  </w:p>
  <w:p w14:paraId="05F71E55" w14:textId="77777777" w:rsidR="008A357F" w:rsidRDefault="008A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7597" w14:textId="77777777" w:rsidR="00834834" w:rsidRDefault="00834834" w:rsidP="009E22D0">
      <w:r>
        <w:separator/>
      </w:r>
    </w:p>
  </w:footnote>
  <w:footnote w:type="continuationSeparator" w:id="0">
    <w:p w14:paraId="11E34AE2" w14:textId="77777777" w:rsidR="00834834" w:rsidRDefault="00834834" w:rsidP="009E22D0">
      <w:r>
        <w:continuationSeparator/>
      </w:r>
    </w:p>
  </w:footnote>
  <w:footnote w:type="continuationNotice" w:id="1">
    <w:p w14:paraId="735D29ED" w14:textId="77777777" w:rsidR="00834834" w:rsidRDefault="00834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98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color w:val="2B579A"/>
        <w:shd w:val="clear" w:color="auto" w:fill="E6E6E6"/>
      </w:rPr>
      <w:drawing>
        <wp:inline distT="0" distB="0" distL="0" distR="0" wp14:anchorId="5E7C760D" wp14:editId="67C9C3BC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06A6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AF2"/>
    <w:multiLevelType w:val="hybridMultilevel"/>
    <w:tmpl w:val="5C52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787"/>
    <w:multiLevelType w:val="hybridMultilevel"/>
    <w:tmpl w:val="4F60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245EB3"/>
    <w:multiLevelType w:val="hybridMultilevel"/>
    <w:tmpl w:val="99AA7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1D2CF"/>
    <w:multiLevelType w:val="hybridMultilevel"/>
    <w:tmpl w:val="E584782E"/>
    <w:lvl w:ilvl="0" w:tplc="03AAE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985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5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E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F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3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68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0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AA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7E9E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2112A"/>
    <w:multiLevelType w:val="hybridMultilevel"/>
    <w:tmpl w:val="D0CA6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E0A"/>
    <w:multiLevelType w:val="hybridMultilevel"/>
    <w:tmpl w:val="EE2EF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A5D20"/>
    <w:multiLevelType w:val="hybridMultilevel"/>
    <w:tmpl w:val="C810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9BE75"/>
    <w:multiLevelType w:val="hybridMultilevel"/>
    <w:tmpl w:val="3A148B22"/>
    <w:lvl w:ilvl="0" w:tplc="FD08D8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C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0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A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4F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47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CE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CB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26A88"/>
    <w:multiLevelType w:val="multilevel"/>
    <w:tmpl w:val="5E8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6141">
    <w:abstractNumId w:val="21"/>
  </w:num>
  <w:num w:numId="2" w16cid:durableId="1346832085">
    <w:abstractNumId w:val="9"/>
  </w:num>
  <w:num w:numId="3" w16cid:durableId="1596087422">
    <w:abstractNumId w:val="13"/>
  </w:num>
  <w:num w:numId="4" w16cid:durableId="533157444">
    <w:abstractNumId w:val="0"/>
  </w:num>
  <w:num w:numId="5" w16cid:durableId="1441296412">
    <w:abstractNumId w:val="11"/>
  </w:num>
  <w:num w:numId="6" w16cid:durableId="221336765">
    <w:abstractNumId w:val="10"/>
  </w:num>
  <w:num w:numId="7" w16cid:durableId="643045729">
    <w:abstractNumId w:val="12"/>
  </w:num>
  <w:num w:numId="8" w16cid:durableId="559679800">
    <w:abstractNumId w:val="2"/>
  </w:num>
  <w:num w:numId="9" w16cid:durableId="1067387294">
    <w:abstractNumId w:val="14"/>
  </w:num>
  <w:num w:numId="10" w16cid:durableId="886069249">
    <w:abstractNumId w:val="22"/>
  </w:num>
  <w:num w:numId="11" w16cid:durableId="1559247429">
    <w:abstractNumId w:val="25"/>
  </w:num>
  <w:num w:numId="12" w16cid:durableId="1518344655">
    <w:abstractNumId w:val="17"/>
  </w:num>
  <w:num w:numId="13" w16cid:durableId="2064788846">
    <w:abstractNumId w:val="7"/>
  </w:num>
  <w:num w:numId="14" w16cid:durableId="1433280948">
    <w:abstractNumId w:val="18"/>
  </w:num>
  <w:num w:numId="15" w16cid:durableId="96870939">
    <w:abstractNumId w:val="1"/>
  </w:num>
  <w:num w:numId="16" w16cid:durableId="361325124">
    <w:abstractNumId w:val="15"/>
  </w:num>
  <w:num w:numId="17" w16cid:durableId="786778205">
    <w:abstractNumId w:val="23"/>
  </w:num>
  <w:num w:numId="18" w16cid:durableId="2084372924">
    <w:abstractNumId w:val="6"/>
  </w:num>
  <w:num w:numId="19" w16cid:durableId="459881295">
    <w:abstractNumId w:val="16"/>
  </w:num>
  <w:num w:numId="20" w16cid:durableId="53244086">
    <w:abstractNumId w:val="4"/>
  </w:num>
  <w:num w:numId="21" w16cid:durableId="2006785638">
    <w:abstractNumId w:val="24"/>
  </w:num>
  <w:num w:numId="22" w16cid:durableId="1223365814">
    <w:abstractNumId w:val="5"/>
  </w:num>
  <w:num w:numId="23" w16cid:durableId="518154762">
    <w:abstractNumId w:val="19"/>
  </w:num>
  <w:num w:numId="24" w16cid:durableId="1306549774">
    <w:abstractNumId w:val="8"/>
  </w:num>
  <w:num w:numId="25" w16cid:durableId="13263500">
    <w:abstractNumId w:val="20"/>
  </w:num>
  <w:num w:numId="26" w16cid:durableId="114898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06F93"/>
    <w:rsid w:val="0001234E"/>
    <w:rsid w:val="00013E2F"/>
    <w:rsid w:val="00016E77"/>
    <w:rsid w:val="00022596"/>
    <w:rsid w:val="00030225"/>
    <w:rsid w:val="00033EE5"/>
    <w:rsid w:val="00051EAF"/>
    <w:rsid w:val="000537E4"/>
    <w:rsid w:val="00055A66"/>
    <w:rsid w:val="00060750"/>
    <w:rsid w:val="000607C5"/>
    <w:rsid w:val="000660EC"/>
    <w:rsid w:val="000708C4"/>
    <w:rsid w:val="00082F60"/>
    <w:rsid w:val="00084AAD"/>
    <w:rsid w:val="00090C2B"/>
    <w:rsid w:val="00093394"/>
    <w:rsid w:val="000A53DF"/>
    <w:rsid w:val="000A559E"/>
    <w:rsid w:val="000A7C0A"/>
    <w:rsid w:val="000C02DE"/>
    <w:rsid w:val="000C264B"/>
    <w:rsid w:val="000D5A5B"/>
    <w:rsid w:val="000E4361"/>
    <w:rsid w:val="000E66D7"/>
    <w:rsid w:val="00107A2F"/>
    <w:rsid w:val="00111646"/>
    <w:rsid w:val="00112805"/>
    <w:rsid w:val="00117F2F"/>
    <w:rsid w:val="00123F84"/>
    <w:rsid w:val="001509D4"/>
    <w:rsid w:val="001536DC"/>
    <w:rsid w:val="001556D2"/>
    <w:rsid w:val="00156646"/>
    <w:rsid w:val="00156B03"/>
    <w:rsid w:val="00164A79"/>
    <w:rsid w:val="0016520B"/>
    <w:rsid w:val="00165EFC"/>
    <w:rsid w:val="00171678"/>
    <w:rsid w:val="0017454C"/>
    <w:rsid w:val="00185B74"/>
    <w:rsid w:val="00187302"/>
    <w:rsid w:val="001A1D33"/>
    <w:rsid w:val="001B0BB7"/>
    <w:rsid w:val="001B3D0A"/>
    <w:rsid w:val="001C33E8"/>
    <w:rsid w:val="001C3BE8"/>
    <w:rsid w:val="001D13C0"/>
    <w:rsid w:val="001D1B96"/>
    <w:rsid w:val="001D3963"/>
    <w:rsid w:val="001D4989"/>
    <w:rsid w:val="001F5194"/>
    <w:rsid w:val="00205257"/>
    <w:rsid w:val="00222BBC"/>
    <w:rsid w:val="0022440F"/>
    <w:rsid w:val="00232FC1"/>
    <w:rsid w:val="002347E6"/>
    <w:rsid w:val="002348C0"/>
    <w:rsid w:val="00241D7D"/>
    <w:rsid w:val="00252222"/>
    <w:rsid w:val="002614B4"/>
    <w:rsid w:val="00261F79"/>
    <w:rsid w:val="00267F7F"/>
    <w:rsid w:val="0027027F"/>
    <w:rsid w:val="0027369E"/>
    <w:rsid w:val="00276DE7"/>
    <w:rsid w:val="00282C0A"/>
    <w:rsid w:val="00283D7B"/>
    <w:rsid w:val="0029268F"/>
    <w:rsid w:val="002A11ED"/>
    <w:rsid w:val="002A13D7"/>
    <w:rsid w:val="002A3949"/>
    <w:rsid w:val="002A65F3"/>
    <w:rsid w:val="002B47FA"/>
    <w:rsid w:val="002B557F"/>
    <w:rsid w:val="002B5F7E"/>
    <w:rsid w:val="002B7331"/>
    <w:rsid w:val="002C37DD"/>
    <w:rsid w:val="002C7907"/>
    <w:rsid w:val="002D1FF1"/>
    <w:rsid w:val="002D27CF"/>
    <w:rsid w:val="002D38E6"/>
    <w:rsid w:val="002E2E53"/>
    <w:rsid w:val="002E4F4F"/>
    <w:rsid w:val="002F3D8F"/>
    <w:rsid w:val="002F7212"/>
    <w:rsid w:val="00303944"/>
    <w:rsid w:val="00305830"/>
    <w:rsid w:val="00316E60"/>
    <w:rsid w:val="003210AB"/>
    <w:rsid w:val="00327612"/>
    <w:rsid w:val="00330823"/>
    <w:rsid w:val="003330B7"/>
    <w:rsid w:val="003331BE"/>
    <w:rsid w:val="003332D0"/>
    <w:rsid w:val="003347A1"/>
    <w:rsid w:val="0033562D"/>
    <w:rsid w:val="00340323"/>
    <w:rsid w:val="003419D1"/>
    <w:rsid w:val="00344257"/>
    <w:rsid w:val="00352DB6"/>
    <w:rsid w:val="00354A35"/>
    <w:rsid w:val="003550DC"/>
    <w:rsid w:val="00360CE5"/>
    <w:rsid w:val="00362DF9"/>
    <w:rsid w:val="0036491B"/>
    <w:rsid w:val="003650A3"/>
    <w:rsid w:val="00365E91"/>
    <w:rsid w:val="00366EF1"/>
    <w:rsid w:val="003702D5"/>
    <w:rsid w:val="0037217D"/>
    <w:rsid w:val="003743D0"/>
    <w:rsid w:val="003746E9"/>
    <w:rsid w:val="0038578C"/>
    <w:rsid w:val="003974C0"/>
    <w:rsid w:val="00397D8F"/>
    <w:rsid w:val="003A11E6"/>
    <w:rsid w:val="003A6D35"/>
    <w:rsid w:val="003B2FD2"/>
    <w:rsid w:val="003B3D24"/>
    <w:rsid w:val="003C0E67"/>
    <w:rsid w:val="003C114D"/>
    <w:rsid w:val="003C4392"/>
    <w:rsid w:val="003C62C5"/>
    <w:rsid w:val="003D0974"/>
    <w:rsid w:val="003D6861"/>
    <w:rsid w:val="003D72E9"/>
    <w:rsid w:val="003E24FB"/>
    <w:rsid w:val="003E46D0"/>
    <w:rsid w:val="003E4FE9"/>
    <w:rsid w:val="003F0076"/>
    <w:rsid w:val="003F0564"/>
    <w:rsid w:val="003F6E4F"/>
    <w:rsid w:val="0041489F"/>
    <w:rsid w:val="00415EED"/>
    <w:rsid w:val="00416F6C"/>
    <w:rsid w:val="00423D58"/>
    <w:rsid w:val="00441A4F"/>
    <w:rsid w:val="004426AE"/>
    <w:rsid w:val="0044280B"/>
    <w:rsid w:val="004443F1"/>
    <w:rsid w:val="0044736D"/>
    <w:rsid w:val="00453934"/>
    <w:rsid w:val="00463404"/>
    <w:rsid w:val="00463804"/>
    <w:rsid w:val="00463F18"/>
    <w:rsid w:val="00464AC1"/>
    <w:rsid w:val="0047749E"/>
    <w:rsid w:val="00481C47"/>
    <w:rsid w:val="00481EEF"/>
    <w:rsid w:val="00486E35"/>
    <w:rsid w:val="004B10B1"/>
    <w:rsid w:val="004B3EF8"/>
    <w:rsid w:val="004B4363"/>
    <w:rsid w:val="004C78DF"/>
    <w:rsid w:val="004D18E8"/>
    <w:rsid w:val="004D6C28"/>
    <w:rsid w:val="004D7C7C"/>
    <w:rsid w:val="004E6E7E"/>
    <w:rsid w:val="004F06E6"/>
    <w:rsid w:val="004F24F3"/>
    <w:rsid w:val="00504842"/>
    <w:rsid w:val="00520900"/>
    <w:rsid w:val="00522072"/>
    <w:rsid w:val="005241E2"/>
    <w:rsid w:val="00534FEC"/>
    <w:rsid w:val="00536E94"/>
    <w:rsid w:val="00541C93"/>
    <w:rsid w:val="00543CE1"/>
    <w:rsid w:val="0054453A"/>
    <w:rsid w:val="00544700"/>
    <w:rsid w:val="00545C3D"/>
    <w:rsid w:val="00551B2C"/>
    <w:rsid w:val="00552143"/>
    <w:rsid w:val="005542D1"/>
    <w:rsid w:val="005608C1"/>
    <w:rsid w:val="0056188D"/>
    <w:rsid w:val="00562AB5"/>
    <w:rsid w:val="0056424E"/>
    <w:rsid w:val="00566C63"/>
    <w:rsid w:val="00577153"/>
    <w:rsid w:val="00584AD7"/>
    <w:rsid w:val="00594E40"/>
    <w:rsid w:val="005A1872"/>
    <w:rsid w:val="005A4B38"/>
    <w:rsid w:val="005A5AA7"/>
    <w:rsid w:val="005B2B4F"/>
    <w:rsid w:val="005B4C48"/>
    <w:rsid w:val="005C10C4"/>
    <w:rsid w:val="005C4409"/>
    <w:rsid w:val="005D0458"/>
    <w:rsid w:val="005D5069"/>
    <w:rsid w:val="005E0AAA"/>
    <w:rsid w:val="005E4D46"/>
    <w:rsid w:val="005E5FA8"/>
    <w:rsid w:val="005F73A8"/>
    <w:rsid w:val="005F7B73"/>
    <w:rsid w:val="0060278E"/>
    <w:rsid w:val="00602DB0"/>
    <w:rsid w:val="006030F2"/>
    <w:rsid w:val="006115AC"/>
    <w:rsid w:val="00614866"/>
    <w:rsid w:val="00614DA6"/>
    <w:rsid w:val="006219B1"/>
    <w:rsid w:val="006234D7"/>
    <w:rsid w:val="006277A2"/>
    <w:rsid w:val="006309C4"/>
    <w:rsid w:val="00632434"/>
    <w:rsid w:val="0065130D"/>
    <w:rsid w:val="00656FB9"/>
    <w:rsid w:val="0066451F"/>
    <w:rsid w:val="006664D6"/>
    <w:rsid w:val="00666EB3"/>
    <w:rsid w:val="006720FD"/>
    <w:rsid w:val="00674FE2"/>
    <w:rsid w:val="0067591B"/>
    <w:rsid w:val="00676383"/>
    <w:rsid w:val="006773E0"/>
    <w:rsid w:val="00692A73"/>
    <w:rsid w:val="006941E5"/>
    <w:rsid w:val="006A1B54"/>
    <w:rsid w:val="006A2A8D"/>
    <w:rsid w:val="006A34C9"/>
    <w:rsid w:val="006A6624"/>
    <w:rsid w:val="006B145E"/>
    <w:rsid w:val="006B2058"/>
    <w:rsid w:val="006B56DB"/>
    <w:rsid w:val="006D5DA5"/>
    <w:rsid w:val="006E0355"/>
    <w:rsid w:val="006E5E88"/>
    <w:rsid w:val="006E6555"/>
    <w:rsid w:val="006F1A24"/>
    <w:rsid w:val="006F1CE1"/>
    <w:rsid w:val="006F3056"/>
    <w:rsid w:val="006F4396"/>
    <w:rsid w:val="006F4B13"/>
    <w:rsid w:val="0070159E"/>
    <w:rsid w:val="00705168"/>
    <w:rsid w:val="00711E46"/>
    <w:rsid w:val="00716307"/>
    <w:rsid w:val="00717094"/>
    <w:rsid w:val="007170CA"/>
    <w:rsid w:val="00724AD7"/>
    <w:rsid w:val="00726E7B"/>
    <w:rsid w:val="00730A0E"/>
    <w:rsid w:val="00732D91"/>
    <w:rsid w:val="007351E0"/>
    <w:rsid w:val="00740B5C"/>
    <w:rsid w:val="0074377F"/>
    <w:rsid w:val="00746A7A"/>
    <w:rsid w:val="00751838"/>
    <w:rsid w:val="007629D9"/>
    <w:rsid w:val="0076477D"/>
    <w:rsid w:val="00782565"/>
    <w:rsid w:val="00783360"/>
    <w:rsid w:val="007837D9"/>
    <w:rsid w:val="00786DCE"/>
    <w:rsid w:val="00792C8D"/>
    <w:rsid w:val="007A10B8"/>
    <w:rsid w:val="007A4741"/>
    <w:rsid w:val="007A60F4"/>
    <w:rsid w:val="007B3464"/>
    <w:rsid w:val="007C785D"/>
    <w:rsid w:val="007D1F00"/>
    <w:rsid w:val="007D427C"/>
    <w:rsid w:val="007D52CD"/>
    <w:rsid w:val="007D5F20"/>
    <w:rsid w:val="007D7464"/>
    <w:rsid w:val="007E7CA1"/>
    <w:rsid w:val="007F2CAA"/>
    <w:rsid w:val="007F41E7"/>
    <w:rsid w:val="008000EB"/>
    <w:rsid w:val="00802C0C"/>
    <w:rsid w:val="008052C4"/>
    <w:rsid w:val="008120DB"/>
    <w:rsid w:val="00813AEB"/>
    <w:rsid w:val="00814EE0"/>
    <w:rsid w:val="008179BF"/>
    <w:rsid w:val="008268C4"/>
    <w:rsid w:val="00834834"/>
    <w:rsid w:val="00845415"/>
    <w:rsid w:val="00847655"/>
    <w:rsid w:val="00847C58"/>
    <w:rsid w:val="008505CA"/>
    <w:rsid w:val="00850672"/>
    <w:rsid w:val="00851F1C"/>
    <w:rsid w:val="00853742"/>
    <w:rsid w:val="00855062"/>
    <w:rsid w:val="0086130E"/>
    <w:rsid w:val="0086676E"/>
    <w:rsid w:val="00874582"/>
    <w:rsid w:val="00876A30"/>
    <w:rsid w:val="00877AC9"/>
    <w:rsid w:val="00891F6C"/>
    <w:rsid w:val="008959F6"/>
    <w:rsid w:val="008A357F"/>
    <w:rsid w:val="008A710F"/>
    <w:rsid w:val="008D2559"/>
    <w:rsid w:val="008D49C7"/>
    <w:rsid w:val="008E0837"/>
    <w:rsid w:val="008E36D2"/>
    <w:rsid w:val="008F48E1"/>
    <w:rsid w:val="008F5569"/>
    <w:rsid w:val="008F5679"/>
    <w:rsid w:val="008F5D20"/>
    <w:rsid w:val="008F6D96"/>
    <w:rsid w:val="008F70FE"/>
    <w:rsid w:val="009021A7"/>
    <w:rsid w:val="009053F9"/>
    <w:rsid w:val="00914DF6"/>
    <w:rsid w:val="00930195"/>
    <w:rsid w:val="00937281"/>
    <w:rsid w:val="00946E95"/>
    <w:rsid w:val="00947A16"/>
    <w:rsid w:val="00951F41"/>
    <w:rsid w:val="00952567"/>
    <w:rsid w:val="0095566D"/>
    <w:rsid w:val="0095691E"/>
    <w:rsid w:val="00975FCF"/>
    <w:rsid w:val="00976168"/>
    <w:rsid w:val="0097616B"/>
    <w:rsid w:val="00977C0E"/>
    <w:rsid w:val="00991597"/>
    <w:rsid w:val="009925FE"/>
    <w:rsid w:val="00993FF2"/>
    <w:rsid w:val="009B3C71"/>
    <w:rsid w:val="009B6C18"/>
    <w:rsid w:val="009C4A6A"/>
    <w:rsid w:val="009C4E40"/>
    <w:rsid w:val="009C5B60"/>
    <w:rsid w:val="009D08BA"/>
    <w:rsid w:val="009D6784"/>
    <w:rsid w:val="009E22D0"/>
    <w:rsid w:val="009F1178"/>
    <w:rsid w:val="009F3115"/>
    <w:rsid w:val="009F7E45"/>
    <w:rsid w:val="00A019D9"/>
    <w:rsid w:val="00A31145"/>
    <w:rsid w:val="00A312F1"/>
    <w:rsid w:val="00A32EB1"/>
    <w:rsid w:val="00A4414A"/>
    <w:rsid w:val="00A45475"/>
    <w:rsid w:val="00A514B3"/>
    <w:rsid w:val="00A569B3"/>
    <w:rsid w:val="00A65D88"/>
    <w:rsid w:val="00A66F61"/>
    <w:rsid w:val="00A678CD"/>
    <w:rsid w:val="00A71371"/>
    <w:rsid w:val="00A715CC"/>
    <w:rsid w:val="00A72C5F"/>
    <w:rsid w:val="00A72F90"/>
    <w:rsid w:val="00A8039B"/>
    <w:rsid w:val="00A8412E"/>
    <w:rsid w:val="00A86319"/>
    <w:rsid w:val="00AA3604"/>
    <w:rsid w:val="00AA450E"/>
    <w:rsid w:val="00AA55A9"/>
    <w:rsid w:val="00AA5CBF"/>
    <w:rsid w:val="00AB6F90"/>
    <w:rsid w:val="00AC2D53"/>
    <w:rsid w:val="00AC4C17"/>
    <w:rsid w:val="00AC7A47"/>
    <w:rsid w:val="00AD0131"/>
    <w:rsid w:val="00AD1338"/>
    <w:rsid w:val="00AD445C"/>
    <w:rsid w:val="00AD457C"/>
    <w:rsid w:val="00AE2CB9"/>
    <w:rsid w:val="00AE7E31"/>
    <w:rsid w:val="00AF52D6"/>
    <w:rsid w:val="00B00BEA"/>
    <w:rsid w:val="00B0397F"/>
    <w:rsid w:val="00B05CE6"/>
    <w:rsid w:val="00B1191B"/>
    <w:rsid w:val="00B131F4"/>
    <w:rsid w:val="00B17C2D"/>
    <w:rsid w:val="00B17CE0"/>
    <w:rsid w:val="00B32496"/>
    <w:rsid w:val="00B35DCE"/>
    <w:rsid w:val="00B455DF"/>
    <w:rsid w:val="00B675F4"/>
    <w:rsid w:val="00B75089"/>
    <w:rsid w:val="00B90748"/>
    <w:rsid w:val="00B9077E"/>
    <w:rsid w:val="00B91D41"/>
    <w:rsid w:val="00B95BD7"/>
    <w:rsid w:val="00B96F06"/>
    <w:rsid w:val="00BA4792"/>
    <w:rsid w:val="00BA5DDE"/>
    <w:rsid w:val="00BB2328"/>
    <w:rsid w:val="00BB35C8"/>
    <w:rsid w:val="00BC2212"/>
    <w:rsid w:val="00BC4DD9"/>
    <w:rsid w:val="00BC6991"/>
    <w:rsid w:val="00BD0F4C"/>
    <w:rsid w:val="00BF1A6C"/>
    <w:rsid w:val="00BF1B2D"/>
    <w:rsid w:val="00BF6A1D"/>
    <w:rsid w:val="00C164CC"/>
    <w:rsid w:val="00C306FF"/>
    <w:rsid w:val="00C353F8"/>
    <w:rsid w:val="00C4136C"/>
    <w:rsid w:val="00C51CB2"/>
    <w:rsid w:val="00C53A24"/>
    <w:rsid w:val="00C5592E"/>
    <w:rsid w:val="00C60F38"/>
    <w:rsid w:val="00C6169D"/>
    <w:rsid w:val="00C619B1"/>
    <w:rsid w:val="00C80FC9"/>
    <w:rsid w:val="00C87A8C"/>
    <w:rsid w:val="00C91CFA"/>
    <w:rsid w:val="00C92622"/>
    <w:rsid w:val="00C97462"/>
    <w:rsid w:val="00CA3001"/>
    <w:rsid w:val="00CA7F84"/>
    <w:rsid w:val="00CB2F3C"/>
    <w:rsid w:val="00CB6DD1"/>
    <w:rsid w:val="00CC146A"/>
    <w:rsid w:val="00CC634D"/>
    <w:rsid w:val="00CD07D4"/>
    <w:rsid w:val="00CD31F1"/>
    <w:rsid w:val="00CD35A7"/>
    <w:rsid w:val="00CE0604"/>
    <w:rsid w:val="00CE2EC4"/>
    <w:rsid w:val="00CE4BBE"/>
    <w:rsid w:val="00CE7F90"/>
    <w:rsid w:val="00CF259B"/>
    <w:rsid w:val="00D0279B"/>
    <w:rsid w:val="00D13A12"/>
    <w:rsid w:val="00D24F44"/>
    <w:rsid w:val="00D315A4"/>
    <w:rsid w:val="00D351B4"/>
    <w:rsid w:val="00D353E2"/>
    <w:rsid w:val="00D40D33"/>
    <w:rsid w:val="00D43BE3"/>
    <w:rsid w:val="00D46FE4"/>
    <w:rsid w:val="00D47BA1"/>
    <w:rsid w:val="00D70062"/>
    <w:rsid w:val="00D74AF8"/>
    <w:rsid w:val="00D77895"/>
    <w:rsid w:val="00D81F11"/>
    <w:rsid w:val="00D83178"/>
    <w:rsid w:val="00D87506"/>
    <w:rsid w:val="00D94B5D"/>
    <w:rsid w:val="00D96AB3"/>
    <w:rsid w:val="00DA2024"/>
    <w:rsid w:val="00DA316D"/>
    <w:rsid w:val="00DB1760"/>
    <w:rsid w:val="00DB68AF"/>
    <w:rsid w:val="00DD0959"/>
    <w:rsid w:val="00DD2D2B"/>
    <w:rsid w:val="00DE627F"/>
    <w:rsid w:val="00DF08CC"/>
    <w:rsid w:val="00DF1594"/>
    <w:rsid w:val="00DF2A9A"/>
    <w:rsid w:val="00DF57EA"/>
    <w:rsid w:val="00DF68C9"/>
    <w:rsid w:val="00E01607"/>
    <w:rsid w:val="00E069DF"/>
    <w:rsid w:val="00E14B2D"/>
    <w:rsid w:val="00E154EF"/>
    <w:rsid w:val="00E169FD"/>
    <w:rsid w:val="00E23C0D"/>
    <w:rsid w:val="00E314F6"/>
    <w:rsid w:val="00E32FB2"/>
    <w:rsid w:val="00E40940"/>
    <w:rsid w:val="00E40AC5"/>
    <w:rsid w:val="00E529CD"/>
    <w:rsid w:val="00E558FD"/>
    <w:rsid w:val="00E567E5"/>
    <w:rsid w:val="00E71B7C"/>
    <w:rsid w:val="00E72CA1"/>
    <w:rsid w:val="00E7725E"/>
    <w:rsid w:val="00E82547"/>
    <w:rsid w:val="00EA0DD9"/>
    <w:rsid w:val="00EA3D08"/>
    <w:rsid w:val="00EB1F16"/>
    <w:rsid w:val="00EC1854"/>
    <w:rsid w:val="00ED5C9F"/>
    <w:rsid w:val="00EE0C91"/>
    <w:rsid w:val="00EE33E0"/>
    <w:rsid w:val="00EE69AD"/>
    <w:rsid w:val="00F0204B"/>
    <w:rsid w:val="00F05C65"/>
    <w:rsid w:val="00F10FBB"/>
    <w:rsid w:val="00F1654F"/>
    <w:rsid w:val="00F207FE"/>
    <w:rsid w:val="00F21502"/>
    <w:rsid w:val="00F247DB"/>
    <w:rsid w:val="00F26750"/>
    <w:rsid w:val="00F30281"/>
    <w:rsid w:val="00F34D51"/>
    <w:rsid w:val="00F372AB"/>
    <w:rsid w:val="00F40907"/>
    <w:rsid w:val="00F4143F"/>
    <w:rsid w:val="00F52149"/>
    <w:rsid w:val="00F5319A"/>
    <w:rsid w:val="00F85189"/>
    <w:rsid w:val="00F85670"/>
    <w:rsid w:val="00F92F33"/>
    <w:rsid w:val="00FA1EA2"/>
    <w:rsid w:val="00FA31FE"/>
    <w:rsid w:val="00FA45F4"/>
    <w:rsid w:val="00FA5A81"/>
    <w:rsid w:val="00FB4711"/>
    <w:rsid w:val="00FB64FE"/>
    <w:rsid w:val="00FC1FA8"/>
    <w:rsid w:val="00FC200B"/>
    <w:rsid w:val="00FC4081"/>
    <w:rsid w:val="00FC4511"/>
    <w:rsid w:val="00FC67DF"/>
    <w:rsid w:val="00FC766A"/>
    <w:rsid w:val="00FD0532"/>
    <w:rsid w:val="00FD2A08"/>
    <w:rsid w:val="00FD5935"/>
    <w:rsid w:val="00FE0F3D"/>
    <w:rsid w:val="00FE4D14"/>
    <w:rsid w:val="00FF16B8"/>
    <w:rsid w:val="00FF2E68"/>
    <w:rsid w:val="00FF67B0"/>
    <w:rsid w:val="012E6FA9"/>
    <w:rsid w:val="020110E3"/>
    <w:rsid w:val="0273DB82"/>
    <w:rsid w:val="02A2F7B5"/>
    <w:rsid w:val="02E8CEAD"/>
    <w:rsid w:val="035FB0EF"/>
    <w:rsid w:val="048DE83C"/>
    <w:rsid w:val="05E5E804"/>
    <w:rsid w:val="064D5DCD"/>
    <w:rsid w:val="06E4352B"/>
    <w:rsid w:val="07B9549A"/>
    <w:rsid w:val="08FABDD6"/>
    <w:rsid w:val="0A8E1BAA"/>
    <w:rsid w:val="0B14B3B9"/>
    <w:rsid w:val="0B499509"/>
    <w:rsid w:val="0B8EA82F"/>
    <w:rsid w:val="0B98930D"/>
    <w:rsid w:val="0BA88AA4"/>
    <w:rsid w:val="0E2E354B"/>
    <w:rsid w:val="0E300E28"/>
    <w:rsid w:val="0F66C2A1"/>
    <w:rsid w:val="10279F9F"/>
    <w:rsid w:val="10AA0599"/>
    <w:rsid w:val="1143417D"/>
    <w:rsid w:val="120938B4"/>
    <w:rsid w:val="13560C1E"/>
    <w:rsid w:val="13CFF252"/>
    <w:rsid w:val="13E3A473"/>
    <w:rsid w:val="1431297B"/>
    <w:rsid w:val="14F57EE7"/>
    <w:rsid w:val="1528609B"/>
    <w:rsid w:val="1575248F"/>
    <w:rsid w:val="15DD3DDB"/>
    <w:rsid w:val="175A9D6F"/>
    <w:rsid w:val="178155CA"/>
    <w:rsid w:val="17AE3949"/>
    <w:rsid w:val="1923E072"/>
    <w:rsid w:val="19E91AF8"/>
    <w:rsid w:val="19EDAE8D"/>
    <w:rsid w:val="1A9FCE2F"/>
    <w:rsid w:val="1C137923"/>
    <w:rsid w:val="1C64AC23"/>
    <w:rsid w:val="1D1D9234"/>
    <w:rsid w:val="1DA53773"/>
    <w:rsid w:val="1E5441F1"/>
    <w:rsid w:val="1E8AD2D9"/>
    <w:rsid w:val="1EE470BC"/>
    <w:rsid w:val="1EE723B3"/>
    <w:rsid w:val="1F1155F2"/>
    <w:rsid w:val="1FC5CF4D"/>
    <w:rsid w:val="2026A33A"/>
    <w:rsid w:val="204FD2F6"/>
    <w:rsid w:val="207A3AF0"/>
    <w:rsid w:val="223D8497"/>
    <w:rsid w:val="236ED866"/>
    <w:rsid w:val="250AA8C7"/>
    <w:rsid w:val="25838A64"/>
    <w:rsid w:val="258C5E8D"/>
    <w:rsid w:val="25B0AC64"/>
    <w:rsid w:val="25B5DE70"/>
    <w:rsid w:val="26726DCC"/>
    <w:rsid w:val="2693756B"/>
    <w:rsid w:val="2831B51F"/>
    <w:rsid w:val="28424989"/>
    <w:rsid w:val="2859F80C"/>
    <w:rsid w:val="28663EEA"/>
    <w:rsid w:val="29156A9F"/>
    <w:rsid w:val="2BD7B770"/>
    <w:rsid w:val="2C697624"/>
    <w:rsid w:val="2CEF58DF"/>
    <w:rsid w:val="2D19497B"/>
    <w:rsid w:val="2ECBD18F"/>
    <w:rsid w:val="2EE155AE"/>
    <w:rsid w:val="3090C112"/>
    <w:rsid w:val="313CB4DA"/>
    <w:rsid w:val="31791653"/>
    <w:rsid w:val="346646EC"/>
    <w:rsid w:val="34678836"/>
    <w:rsid w:val="347B0AD6"/>
    <w:rsid w:val="3480BB9E"/>
    <w:rsid w:val="34AFDCA7"/>
    <w:rsid w:val="35E09861"/>
    <w:rsid w:val="380928A5"/>
    <w:rsid w:val="384FC66F"/>
    <w:rsid w:val="393307E9"/>
    <w:rsid w:val="39EB96D0"/>
    <w:rsid w:val="3AC920F1"/>
    <w:rsid w:val="3ACED84A"/>
    <w:rsid w:val="3E3A8EC4"/>
    <w:rsid w:val="3EF2AE41"/>
    <w:rsid w:val="3EF604E5"/>
    <w:rsid w:val="3F78F7A5"/>
    <w:rsid w:val="3F9B829A"/>
    <w:rsid w:val="3FAE2EB3"/>
    <w:rsid w:val="3FCC0D06"/>
    <w:rsid w:val="41D49798"/>
    <w:rsid w:val="4258AD35"/>
    <w:rsid w:val="42736CF4"/>
    <w:rsid w:val="436878D6"/>
    <w:rsid w:val="44B466E8"/>
    <w:rsid w:val="44F1BE61"/>
    <w:rsid w:val="45972591"/>
    <w:rsid w:val="46D42699"/>
    <w:rsid w:val="476E041E"/>
    <w:rsid w:val="47A4E84B"/>
    <w:rsid w:val="48109872"/>
    <w:rsid w:val="48BBF465"/>
    <w:rsid w:val="48C20DB7"/>
    <w:rsid w:val="490FB69A"/>
    <w:rsid w:val="4A28F148"/>
    <w:rsid w:val="4A33EA0A"/>
    <w:rsid w:val="4AA473B2"/>
    <w:rsid w:val="4BE4A44D"/>
    <w:rsid w:val="4C36CDCA"/>
    <w:rsid w:val="4CF7698D"/>
    <w:rsid w:val="4DC285CE"/>
    <w:rsid w:val="4E549AF4"/>
    <w:rsid w:val="4EBD042F"/>
    <w:rsid w:val="4ED56DD7"/>
    <w:rsid w:val="4F031CB2"/>
    <w:rsid w:val="4F250455"/>
    <w:rsid w:val="4FEC7DE1"/>
    <w:rsid w:val="507E23C2"/>
    <w:rsid w:val="509EED13"/>
    <w:rsid w:val="50C8E84A"/>
    <w:rsid w:val="5168750B"/>
    <w:rsid w:val="528293B6"/>
    <w:rsid w:val="52B57EBE"/>
    <w:rsid w:val="539272CB"/>
    <w:rsid w:val="542715E8"/>
    <w:rsid w:val="54309FC7"/>
    <w:rsid w:val="54833776"/>
    <w:rsid w:val="54DD7DE0"/>
    <w:rsid w:val="54EE6B92"/>
    <w:rsid w:val="551160D3"/>
    <w:rsid w:val="555D6A0E"/>
    <w:rsid w:val="56392A59"/>
    <w:rsid w:val="567F4986"/>
    <w:rsid w:val="5696E50F"/>
    <w:rsid w:val="57E18491"/>
    <w:rsid w:val="58777BD7"/>
    <w:rsid w:val="58A1B16B"/>
    <w:rsid w:val="58AC92FD"/>
    <w:rsid w:val="591DEDFF"/>
    <w:rsid w:val="5A45CF59"/>
    <w:rsid w:val="5A7125E3"/>
    <w:rsid w:val="5ADF510C"/>
    <w:rsid w:val="5B64DFD4"/>
    <w:rsid w:val="5B7A8E5A"/>
    <w:rsid w:val="5BCEE335"/>
    <w:rsid w:val="5BF645E1"/>
    <w:rsid w:val="5DA84F21"/>
    <w:rsid w:val="5E0383B1"/>
    <w:rsid w:val="5E504596"/>
    <w:rsid w:val="5F895F07"/>
    <w:rsid w:val="5FE14B8B"/>
    <w:rsid w:val="604A25D5"/>
    <w:rsid w:val="60ACE203"/>
    <w:rsid w:val="616751B3"/>
    <w:rsid w:val="618CAF55"/>
    <w:rsid w:val="6220FC86"/>
    <w:rsid w:val="6248B264"/>
    <w:rsid w:val="62A83918"/>
    <w:rsid w:val="665C624F"/>
    <w:rsid w:val="66B78905"/>
    <w:rsid w:val="66B952AB"/>
    <w:rsid w:val="66E18E51"/>
    <w:rsid w:val="670BC732"/>
    <w:rsid w:val="692674AE"/>
    <w:rsid w:val="698A6687"/>
    <w:rsid w:val="69FE5BD1"/>
    <w:rsid w:val="69FF35C9"/>
    <w:rsid w:val="6A70AC6E"/>
    <w:rsid w:val="6AF80A07"/>
    <w:rsid w:val="6C0015B1"/>
    <w:rsid w:val="6D152B8F"/>
    <w:rsid w:val="6E7EE927"/>
    <w:rsid w:val="6EF4D936"/>
    <w:rsid w:val="6F31C3BC"/>
    <w:rsid w:val="6F843546"/>
    <w:rsid w:val="6FD49CB4"/>
    <w:rsid w:val="70CF3962"/>
    <w:rsid w:val="723E22F2"/>
    <w:rsid w:val="726B09C3"/>
    <w:rsid w:val="748467DD"/>
    <w:rsid w:val="74D62F16"/>
    <w:rsid w:val="757F9E58"/>
    <w:rsid w:val="75973B4B"/>
    <w:rsid w:val="764F3836"/>
    <w:rsid w:val="7700ABE1"/>
    <w:rsid w:val="77FFEAC9"/>
    <w:rsid w:val="78B9266F"/>
    <w:rsid w:val="79416D83"/>
    <w:rsid w:val="798DFDB1"/>
    <w:rsid w:val="7A6F9E9B"/>
    <w:rsid w:val="7A95823F"/>
    <w:rsid w:val="7AA2CE2F"/>
    <w:rsid w:val="7AF45D5A"/>
    <w:rsid w:val="7CA1F584"/>
    <w:rsid w:val="7CDE2A45"/>
    <w:rsid w:val="7CE0530A"/>
    <w:rsid w:val="7D31F686"/>
    <w:rsid w:val="7D6672B5"/>
    <w:rsid w:val="7E63C5B5"/>
    <w:rsid w:val="7E63C88A"/>
    <w:rsid w:val="7EE12F62"/>
    <w:rsid w:val="7F506A64"/>
    <w:rsid w:val="7FD5CC3D"/>
    <w:rsid w:val="7FDA36C1"/>
    <w:rsid w:val="7FD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2C334"/>
  <w15:docId w15:val="{5ED1683B-31A9-4493-8385-E2F2365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E22D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4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F3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952567"/>
    <w:rPr>
      <w:rFonts w:ascii="Calibri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B2F3C"/>
  </w:style>
  <w:style w:type="character" w:customStyle="1" w:styleId="ListParagraphChar">
    <w:name w:val="List Paragraph Char"/>
    <w:basedOn w:val="DefaultParagraphFont"/>
    <w:link w:val="ListParagraph"/>
    <w:uiPriority w:val="34"/>
    <w:rsid w:val="00AC4C1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832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85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08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CA3F4D1AD174AA107B2F4B788C853" ma:contentTypeVersion="3" ma:contentTypeDescription="Create a new document." ma:contentTypeScope="" ma:versionID="6321070ccd17966079ec029db54d230e">
  <xsd:schema xmlns:xsd="http://www.w3.org/2001/XMLSchema" xmlns:xs="http://www.w3.org/2001/XMLSchema" xmlns:p="http://schemas.microsoft.com/office/2006/metadata/properties" xmlns:ns2="9fb3c98f-ed9b-486c-9b17-75834a320f88" targetNamespace="http://schemas.microsoft.com/office/2006/metadata/properties" ma:root="true" ma:fieldsID="0b55d71acfeb3118dd2d7ae8cc7a199c" ns2:_="">
    <xsd:import namespace="9fb3c98f-ed9b-486c-9b17-75834a320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c98f-ed9b-486c-9b17-75834a320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14B3E-9D67-41F8-930F-58D93BD789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304D5CD-D985-4BC0-BF39-2E1F4C00C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4E69E-B216-425C-BCC7-8DA2CD271F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1D1836-6BE5-4EFA-92C3-FE6D3A2E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c98f-ed9b-486c-9b17-75834a320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523B34-47CC-4AA6-9772-4935D2C7A9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774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Samiksha Raskar</cp:lastModifiedBy>
  <cp:revision>3</cp:revision>
  <dcterms:created xsi:type="dcterms:W3CDTF">2025-09-11T08:15:00Z</dcterms:created>
  <dcterms:modified xsi:type="dcterms:W3CDTF">2025-09-11T08:15:00Z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77898488-7f79-4b16-a116-610d8afaa459</vt:lpwstr>
  </property>
  <property fmtid="{D5CDD505-2E9C-101B-9397-08002B2CF9AE}" pid="3" name="bjSaver">
    <vt:lpwstr>Iyi2XAjFQxsXLJTrdfbd50BQAmr2mN7G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0x0101003ADCA3F4D1AD174AA107B2F4B788C853</vt:lpwstr>
  </property>
</Properties>
</file>