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090880">
        <w:trPr>
          <w:trHeight w:val="617"/>
        </w:trPr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0C198154" w:rsidR="004020D9" w:rsidRPr="000E0DE1" w:rsidRDefault="00754788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Senior </w:t>
            </w:r>
            <w:r w:rsidR="000E0DE1" w:rsidRPr="000E0DE1">
              <w:rPr>
                <w:rFonts w:ascii="Arial" w:hAnsi="Arial" w:cs="Arial"/>
                <w:iCs/>
                <w:sz w:val="20"/>
                <w:szCs w:val="20"/>
              </w:rPr>
              <w:t>Investment Manager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5D31F37F" w:rsidR="004020D9" w:rsidRPr="00682B78" w:rsidRDefault="0009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of Investments 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179BDDED" w:rsidR="004020D9" w:rsidRPr="00090880" w:rsidRDefault="00090880">
            <w:pPr>
              <w:rPr>
                <w:rFonts w:ascii="Arial" w:hAnsi="Arial" w:cs="Arial"/>
                <w:sz w:val="20"/>
                <w:szCs w:val="20"/>
              </w:rPr>
            </w:pPr>
            <w:r w:rsidRPr="00090880"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67BEBED7" w:rsidR="004020D9" w:rsidRPr="00682B78" w:rsidRDefault="0009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Investments 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3EA9568A" w:rsidR="0018266D" w:rsidRPr="008E2BCD" w:rsidRDefault="00090880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None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63C11A2B" w:rsidR="00682B78" w:rsidRPr="00682B78" w:rsidRDefault="008E2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Investments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6319F923" w14:textId="0E009A6F" w:rsidR="008E2BCD" w:rsidRPr="00682B78" w:rsidRDefault="002F0092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Income target, £187m (</w:t>
            </w:r>
            <w:r w:rsidR="008E2BCD">
              <w:rPr>
                <w:rFonts w:ascii="Arial" w:hAnsi="Arial" w:cs="Arial"/>
                <w:sz w:val="20"/>
                <w:szCs w:val="20"/>
              </w:rPr>
              <w:t>Financial Plan 2025)</w:t>
            </w: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761A96B5" w14:textId="093470D7" w:rsidR="00761467" w:rsidRDefault="002F00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6C876156" w:rsidR="009E0E2B" w:rsidRPr="002055D5" w:rsidRDefault="00A27DE1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055D5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  <w:r w:rsidR="009E0E2B" w:rsidRPr="002055D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02762104" w:rsidR="009E0E2B" w:rsidRPr="002055D5" w:rsidRDefault="00A27DE1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055D5">
              <w:rPr>
                <w:rFonts w:ascii="Arial" w:hAnsi="Arial" w:cs="Arial"/>
                <w:iCs/>
                <w:sz w:val="20"/>
                <w:szCs w:val="20"/>
              </w:rPr>
              <w:t>Member Ris</w:t>
            </w:r>
            <w:r w:rsidR="002055D5" w:rsidRPr="002055D5">
              <w:rPr>
                <w:rFonts w:ascii="Arial" w:hAnsi="Arial" w:cs="Arial"/>
                <w:iCs/>
                <w:sz w:val="20"/>
                <w:szCs w:val="20"/>
              </w:rPr>
              <w:t>k and Exposure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5D9B2A5D" w14:textId="3514A41C" w:rsidR="002B663A" w:rsidRDefault="00E6048B" w:rsidP="00386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54788">
              <w:rPr>
                <w:rFonts w:ascii="Arial" w:hAnsi="Arial" w:cs="Arial"/>
                <w:sz w:val="20"/>
                <w:szCs w:val="20"/>
              </w:rPr>
              <w:t xml:space="preserve">he Senior </w:t>
            </w:r>
            <w:r w:rsidR="00EE4599">
              <w:rPr>
                <w:rFonts w:ascii="Arial" w:hAnsi="Arial" w:cs="Arial"/>
                <w:sz w:val="20"/>
                <w:szCs w:val="20"/>
              </w:rPr>
              <w:t>Investment Manager</w:t>
            </w:r>
            <w:r w:rsidR="0038608E" w:rsidRPr="00603B57" w:rsidDel="00E16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supports the </w:t>
            </w:r>
            <w:r w:rsidR="00090880">
              <w:rPr>
                <w:rFonts w:ascii="Arial" w:hAnsi="Arial" w:cs="Arial"/>
                <w:sz w:val="20"/>
                <w:szCs w:val="20"/>
              </w:rPr>
              <w:t xml:space="preserve">Director of Investments </w:t>
            </w:r>
            <w:r w:rsidR="00013575">
              <w:rPr>
                <w:rFonts w:ascii="Arial" w:hAnsi="Arial" w:cs="Arial"/>
                <w:sz w:val="20"/>
                <w:szCs w:val="20"/>
              </w:rPr>
              <w:t xml:space="preserve"> in managing the </w:t>
            </w:r>
            <w:r w:rsidR="00471C8C">
              <w:rPr>
                <w:rFonts w:ascii="Arial" w:hAnsi="Arial" w:cs="Arial"/>
                <w:sz w:val="20"/>
                <w:szCs w:val="20"/>
              </w:rPr>
              <w:t xml:space="preserve">organisation’s </w:t>
            </w:r>
            <w:r w:rsidR="00C11D75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 w:rsidR="003209E9">
              <w:rPr>
                <w:rFonts w:ascii="Arial" w:hAnsi="Arial" w:cs="Arial"/>
                <w:sz w:val="20"/>
                <w:szCs w:val="20"/>
              </w:rPr>
              <w:t>£</w:t>
            </w:r>
            <w:r w:rsidR="00C11D75">
              <w:rPr>
                <w:rFonts w:ascii="Arial" w:hAnsi="Arial" w:cs="Arial"/>
                <w:sz w:val="20"/>
                <w:szCs w:val="20"/>
              </w:rPr>
              <w:t>3bn</w:t>
            </w:r>
            <w:r w:rsidR="003209E9">
              <w:rPr>
                <w:rFonts w:ascii="Arial" w:hAnsi="Arial" w:cs="Arial"/>
                <w:sz w:val="20"/>
                <w:szCs w:val="20"/>
              </w:rPr>
              <w:t xml:space="preserve"> investment portfolio</w:t>
            </w:r>
            <w:r w:rsidR="00BF15A7">
              <w:rPr>
                <w:rFonts w:ascii="Arial" w:hAnsi="Arial" w:cs="Arial"/>
                <w:sz w:val="20"/>
                <w:szCs w:val="20"/>
              </w:rPr>
              <w:t>.</w:t>
            </w:r>
            <w:r w:rsidR="00C11D75">
              <w:rPr>
                <w:rFonts w:ascii="Arial" w:hAnsi="Arial" w:cs="Arial"/>
                <w:sz w:val="20"/>
                <w:szCs w:val="20"/>
              </w:rPr>
              <w:t xml:space="preserve">  The role </w:t>
            </w:r>
            <w:r w:rsidR="009420E3">
              <w:rPr>
                <w:rFonts w:ascii="Arial" w:hAnsi="Arial" w:cs="Arial"/>
                <w:sz w:val="20"/>
                <w:szCs w:val="20"/>
              </w:rPr>
              <w:t>is</w:t>
            </w:r>
            <w:r w:rsidR="00C11D75">
              <w:rPr>
                <w:rFonts w:ascii="Arial" w:hAnsi="Arial" w:cs="Arial"/>
                <w:sz w:val="20"/>
                <w:szCs w:val="20"/>
              </w:rPr>
              <w:t xml:space="preserve"> responsible for:-</w:t>
            </w:r>
            <w:r w:rsidR="00386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B81BB" w14:textId="77777777" w:rsidR="00090880" w:rsidRDefault="00090880" w:rsidP="00386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41EC2" w14:textId="2149C21A" w:rsidR="007956A8" w:rsidRPr="002B663A" w:rsidRDefault="00C11D75" w:rsidP="002B66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14529" w:rsidRPr="002B663A">
              <w:rPr>
                <w:rFonts w:ascii="Arial" w:hAnsi="Arial" w:cs="Arial"/>
                <w:sz w:val="20"/>
                <w:szCs w:val="20"/>
              </w:rPr>
              <w:t>ppraising potential</w:t>
            </w:r>
            <w:r w:rsidR="00471C8C" w:rsidRPr="002B6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529" w:rsidRPr="002B663A">
              <w:rPr>
                <w:rFonts w:ascii="Arial" w:hAnsi="Arial" w:cs="Arial"/>
                <w:sz w:val="20"/>
                <w:szCs w:val="20"/>
              </w:rPr>
              <w:t>investment strategies, selecting investment manage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566CEC">
              <w:rPr>
                <w:rFonts w:ascii="Arial" w:hAnsi="Arial" w:cs="Arial"/>
                <w:sz w:val="20"/>
                <w:szCs w:val="20"/>
              </w:rPr>
              <w:t xml:space="preserve">nt </w:t>
            </w:r>
            <w:r w:rsidR="00814529" w:rsidRPr="002B663A">
              <w:rPr>
                <w:rFonts w:ascii="Arial" w:hAnsi="Arial" w:cs="Arial"/>
                <w:sz w:val="20"/>
                <w:szCs w:val="20"/>
              </w:rPr>
              <w:t xml:space="preserve">partners and </w:t>
            </w:r>
            <w:r w:rsidR="00653063">
              <w:rPr>
                <w:rFonts w:ascii="Arial" w:hAnsi="Arial" w:cs="Arial"/>
                <w:sz w:val="20"/>
                <w:szCs w:val="20"/>
              </w:rPr>
              <w:t xml:space="preserve">reviewing </w:t>
            </w:r>
            <w:r w:rsidR="00566CEC" w:rsidRPr="002B663A">
              <w:rPr>
                <w:rFonts w:ascii="Arial" w:hAnsi="Arial" w:cs="Arial"/>
                <w:sz w:val="20"/>
                <w:szCs w:val="20"/>
              </w:rPr>
              <w:t>the</w:t>
            </w:r>
            <w:r w:rsidR="00566CEC">
              <w:rPr>
                <w:rFonts w:ascii="Arial" w:hAnsi="Arial" w:cs="Arial"/>
                <w:sz w:val="20"/>
                <w:szCs w:val="20"/>
              </w:rPr>
              <w:t>ir</w:t>
            </w:r>
            <w:r w:rsidR="00566CEC" w:rsidRPr="002B663A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AC399D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884BDF">
              <w:rPr>
                <w:rFonts w:ascii="Arial" w:hAnsi="Arial" w:cs="Arial"/>
                <w:sz w:val="20"/>
                <w:szCs w:val="20"/>
              </w:rPr>
              <w:t xml:space="preserve">their adherence to the organisation’s </w:t>
            </w:r>
            <w:r>
              <w:rPr>
                <w:rFonts w:ascii="Arial" w:hAnsi="Arial" w:cs="Arial"/>
                <w:sz w:val="20"/>
                <w:szCs w:val="20"/>
              </w:rPr>
              <w:t xml:space="preserve">performance and </w:t>
            </w:r>
            <w:r w:rsidR="00884BDF">
              <w:rPr>
                <w:rFonts w:ascii="Arial" w:hAnsi="Arial" w:cs="Arial"/>
                <w:sz w:val="20"/>
                <w:szCs w:val="20"/>
              </w:rPr>
              <w:t>ESG ambitions</w:t>
            </w:r>
            <w:r w:rsidR="00814529" w:rsidRPr="002B663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5221DF" w14:textId="4B0589FA" w:rsidR="002B663A" w:rsidRPr="002B663A" w:rsidRDefault="00C11D75" w:rsidP="002B66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>versee</w:t>
            </w:r>
            <w:r w:rsidR="006178FD" w:rsidRPr="002B663A">
              <w:rPr>
                <w:rFonts w:ascii="Arial" w:hAnsi="Arial" w:cs="Arial"/>
                <w:sz w:val="20"/>
                <w:szCs w:val="20"/>
              </w:rPr>
              <w:t>ing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 xml:space="preserve"> the organisation</w:t>
            </w:r>
            <w:r w:rsidR="008C4E27" w:rsidRPr="002B663A">
              <w:rPr>
                <w:rFonts w:ascii="Arial" w:hAnsi="Arial" w:cs="Arial"/>
                <w:sz w:val="20"/>
                <w:szCs w:val="20"/>
              </w:rPr>
              <w:t>’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 xml:space="preserve">s adherence to </w:t>
            </w:r>
            <w:r w:rsidR="008C4E27" w:rsidRPr="002B663A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8C4E27" w:rsidRPr="002B663A">
              <w:rPr>
                <w:rFonts w:ascii="Arial" w:hAnsi="Arial" w:cs="Arial"/>
                <w:sz w:val="20"/>
                <w:szCs w:val="20"/>
              </w:rPr>
              <w:t>A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>ppetite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20E3">
              <w:rPr>
                <w:rFonts w:ascii="Arial" w:hAnsi="Arial" w:cs="Arial"/>
                <w:sz w:val="20"/>
                <w:szCs w:val="20"/>
              </w:rPr>
              <w:t>whilst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>ensuring target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investment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 xml:space="preserve"> returns are achieved.  </w:t>
            </w:r>
          </w:p>
          <w:p w14:paraId="296043BE" w14:textId="6F74D74E" w:rsidR="0038608E" w:rsidRPr="002B663A" w:rsidRDefault="00C11D75" w:rsidP="002B66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Driving improvements in portfolio construction</w:t>
            </w:r>
            <w:r w:rsidR="009420E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53063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9420E3">
              <w:rPr>
                <w:rFonts w:ascii="Arial" w:hAnsi="Arial" w:cs="Arial"/>
                <w:sz w:val="20"/>
                <w:szCs w:val="20"/>
              </w:rPr>
              <w:t xml:space="preserve"> operational efficiency</w:t>
            </w:r>
            <w:r w:rsidR="0038608E" w:rsidRPr="002B66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1552B2" w14:textId="7A805C42" w:rsidR="004020D9" w:rsidRPr="00682B78" w:rsidRDefault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3B3905F2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43F76BDE" w:rsidR="004020D9" w:rsidRPr="00682B78" w:rsidRDefault="001F0F97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1F0F97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3F9D209D" w14:textId="77777777" w:rsidR="00662FF0" w:rsidRDefault="003E4F01" w:rsidP="00662FF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</w:rPr>
              <w:t xml:space="preserve">Leadership </w:t>
            </w:r>
          </w:p>
          <w:p w14:paraId="61DA0B78" w14:textId="3EB91F39" w:rsidR="009420E3" w:rsidRPr="006E1A25" w:rsidRDefault="009420E3" w:rsidP="009420E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A25">
              <w:rPr>
                <w:rFonts w:ascii="Arial" w:hAnsi="Arial" w:cs="Arial"/>
                <w:sz w:val="20"/>
                <w:szCs w:val="20"/>
              </w:rPr>
              <w:t xml:space="preserve">Evaluate potential investments, </w:t>
            </w:r>
            <w:r>
              <w:rPr>
                <w:rFonts w:ascii="Arial" w:hAnsi="Arial" w:cs="Arial"/>
                <w:sz w:val="20"/>
                <w:szCs w:val="20"/>
              </w:rPr>
              <w:t xml:space="preserve">across existing and potential asset classes, </w:t>
            </w:r>
            <w:r w:rsidRPr="006E1A25">
              <w:rPr>
                <w:rFonts w:ascii="Arial" w:hAnsi="Arial" w:cs="Arial"/>
                <w:sz w:val="20"/>
                <w:szCs w:val="20"/>
              </w:rPr>
              <w:t xml:space="preserve">including equities, fixed income, </w:t>
            </w:r>
            <w:r w:rsidR="005722FF">
              <w:rPr>
                <w:rFonts w:ascii="Arial" w:hAnsi="Arial" w:cs="Arial"/>
                <w:sz w:val="20"/>
                <w:szCs w:val="20"/>
              </w:rPr>
              <w:t xml:space="preserve">alternative credit, </w:t>
            </w:r>
            <w:r w:rsidRPr="006E1A25">
              <w:rPr>
                <w:rFonts w:ascii="Arial" w:hAnsi="Arial" w:cs="Arial"/>
                <w:sz w:val="20"/>
                <w:szCs w:val="20"/>
              </w:rPr>
              <w:t xml:space="preserve">real estate, </w:t>
            </w:r>
            <w:r w:rsidR="005722FF">
              <w:rPr>
                <w:rFonts w:ascii="Arial" w:hAnsi="Arial" w:cs="Arial"/>
                <w:sz w:val="20"/>
                <w:szCs w:val="20"/>
              </w:rPr>
              <w:t xml:space="preserve">infrastructure and other </w:t>
            </w:r>
            <w:r w:rsidRPr="006E1A25">
              <w:rPr>
                <w:rFonts w:ascii="Arial" w:hAnsi="Arial" w:cs="Arial"/>
                <w:sz w:val="20"/>
                <w:szCs w:val="20"/>
              </w:rPr>
              <w:t>alternative assets.</w:t>
            </w:r>
          </w:p>
          <w:p w14:paraId="7DCEDE11" w14:textId="43122048" w:rsidR="00593738" w:rsidRDefault="00593738" w:rsidP="009420E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Exhibit creative thinking in portfolio construction or operational efficiency, especially in the development of the Strategic Asset Allocation of the fund, and of the way we work with strategic partners/advisers.</w:t>
            </w:r>
          </w:p>
          <w:p w14:paraId="35D544F7" w14:textId="3CAC943B" w:rsidR="003E4F01" w:rsidRPr="00C96ABF" w:rsidRDefault="009420E3" w:rsidP="009420E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E4F01" w:rsidRPr="00C96ABF">
              <w:rPr>
                <w:rFonts w:ascii="Arial" w:hAnsi="Arial" w:cs="Arial"/>
                <w:sz w:val="20"/>
                <w:szCs w:val="20"/>
              </w:rPr>
              <w:t xml:space="preserve">eport on </w:t>
            </w:r>
            <w:r w:rsidR="00593738">
              <w:rPr>
                <w:rFonts w:ascii="Arial" w:hAnsi="Arial" w:cs="Arial"/>
                <w:sz w:val="20"/>
                <w:szCs w:val="20"/>
              </w:rPr>
              <w:t>outcomes</w:t>
            </w:r>
            <w:r w:rsidR="003E4F01" w:rsidRPr="00C96A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70CB8">
              <w:rPr>
                <w:rFonts w:ascii="Arial" w:hAnsi="Arial" w:cs="Arial"/>
                <w:sz w:val="20"/>
                <w:szCs w:val="20"/>
              </w:rPr>
              <w:t xml:space="preserve">portfolio </w:t>
            </w:r>
            <w:r w:rsidR="003E4F01" w:rsidRPr="00C96ABF">
              <w:rPr>
                <w:rFonts w:ascii="Arial" w:hAnsi="Arial" w:cs="Arial"/>
                <w:sz w:val="20"/>
                <w:szCs w:val="20"/>
              </w:rPr>
              <w:t>risks, and market trends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E4F01" w:rsidRPr="00C96ABF">
              <w:rPr>
                <w:rFonts w:ascii="Arial" w:hAnsi="Arial" w:cs="Arial"/>
                <w:sz w:val="20"/>
                <w:szCs w:val="20"/>
              </w:rPr>
              <w:t xml:space="preserve"> for senior management.</w:t>
            </w:r>
          </w:p>
          <w:p w14:paraId="223D36A5" w14:textId="582D9091" w:rsidR="004020D9" w:rsidRPr="00682B78" w:rsidRDefault="004020D9" w:rsidP="003108AF">
            <w:pPr>
              <w:pStyle w:val="ListParagraph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0CD4EF" w14:textId="77777777" w:rsidR="001F0F97" w:rsidRDefault="001F0F97" w:rsidP="001F0F9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EB7C01" w14:textId="77777777" w:rsidR="001723DE" w:rsidRDefault="001723DE" w:rsidP="001F0F9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297C94" w14:textId="1EA27607" w:rsidR="00CC2558" w:rsidRDefault="005439B1" w:rsidP="001F0F97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CC2558">
              <w:rPr>
                <w:rFonts w:ascii="Arial" w:eastAsia="Calibri" w:hAnsi="Arial" w:cs="Arial"/>
                <w:sz w:val="20"/>
                <w:szCs w:val="20"/>
              </w:rPr>
              <w:t>investment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22FF">
              <w:rPr>
                <w:rFonts w:ascii="Arial" w:eastAsia="Calibri" w:hAnsi="Arial" w:cs="Arial"/>
                <w:sz w:val="20"/>
                <w:szCs w:val="20"/>
              </w:rPr>
              <w:t>performance in line with strategic objectives</w:t>
            </w:r>
          </w:p>
          <w:p w14:paraId="7522E3CF" w14:textId="015B40E9" w:rsidR="001F0F97" w:rsidRDefault="005722FF" w:rsidP="001F0F97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Enhanced return or risk profile; Operational efficiencies captured</w:t>
            </w:r>
          </w:p>
          <w:p w14:paraId="568A8325" w14:textId="469FFF83" w:rsidR="001F0F97" w:rsidRPr="005722FF" w:rsidRDefault="005722FF" w:rsidP="00AF7025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 w:rsidRPr="005722FF">
              <w:rPr>
                <w:rFonts w:ascii="Arial" w:eastAsia="Calibri" w:hAnsi="Arial" w:cs="Arial"/>
                <w:sz w:val="20"/>
                <w:szCs w:val="20"/>
              </w:rPr>
              <w:t xml:space="preserve">Working with others, especially in Risk and Capital teams; </w:t>
            </w:r>
            <w:r w:rsidR="001F0F97" w:rsidRPr="005722FF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16624BF" w14:textId="6EFCD922" w:rsidR="004020D9" w:rsidRPr="00682B78" w:rsidRDefault="004020D9" w:rsidP="001F0F97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324E3AF0" w14:textId="4DF6926E" w:rsidR="006D43AE" w:rsidRDefault="006D43AE" w:rsidP="006D43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="005722F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182C0DCB" w14:textId="77777777" w:rsidR="00593738" w:rsidRPr="00662FF0" w:rsidRDefault="00593738" w:rsidP="0059373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FF0">
              <w:rPr>
                <w:rFonts w:ascii="Arial" w:hAnsi="Arial" w:cs="Arial"/>
                <w:sz w:val="20"/>
                <w:szCs w:val="20"/>
              </w:rPr>
              <w:t>Design investment mandates, including setting of performance benchmarks that in aggregate deliver the Financial Plan.</w:t>
            </w:r>
          </w:p>
          <w:p w14:paraId="6EBDBC04" w14:textId="0D9C25A0" w:rsidR="006D43AE" w:rsidRPr="00593738" w:rsidRDefault="00593738" w:rsidP="0013159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38">
              <w:rPr>
                <w:rFonts w:ascii="Arial" w:hAnsi="Arial" w:cs="Arial"/>
                <w:sz w:val="20"/>
                <w:szCs w:val="20"/>
              </w:rPr>
              <w:t>Track the performance of investment portfolios versus benchmarks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D43AE" w:rsidRPr="00593738">
              <w:rPr>
                <w:rFonts w:ascii="Arial" w:hAnsi="Arial" w:cs="Arial"/>
                <w:sz w:val="20"/>
                <w:szCs w:val="20"/>
              </w:rPr>
              <w:t xml:space="preserve">Prepare detailed </w:t>
            </w:r>
            <w:r w:rsidR="0028694C" w:rsidRPr="00593738">
              <w:rPr>
                <w:rFonts w:ascii="Arial" w:hAnsi="Arial" w:cs="Arial"/>
                <w:sz w:val="20"/>
                <w:szCs w:val="20"/>
              </w:rPr>
              <w:t>performance</w:t>
            </w:r>
            <w:r w:rsidR="006D43AE" w:rsidRPr="00593738">
              <w:rPr>
                <w:rFonts w:ascii="Arial" w:hAnsi="Arial" w:cs="Arial"/>
                <w:sz w:val="20"/>
                <w:szCs w:val="20"/>
              </w:rPr>
              <w:t xml:space="preserve"> reports and </w:t>
            </w:r>
            <w:r w:rsidR="009009F6" w:rsidRPr="00593738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="006D43AE" w:rsidRPr="00593738">
              <w:rPr>
                <w:rFonts w:ascii="Arial" w:hAnsi="Arial" w:cs="Arial"/>
                <w:sz w:val="20"/>
                <w:szCs w:val="20"/>
              </w:rPr>
              <w:t>presentations</w:t>
            </w:r>
            <w:r w:rsidR="009009F6" w:rsidRPr="005937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3AE" w:rsidRPr="00593738">
              <w:rPr>
                <w:rFonts w:ascii="Arial" w:hAnsi="Arial" w:cs="Arial"/>
                <w:sz w:val="20"/>
                <w:szCs w:val="20"/>
              </w:rPr>
              <w:t>for senior management and stakeholders</w:t>
            </w:r>
            <w:r>
              <w:rPr>
                <w:rFonts w:ascii="Arial" w:hAnsi="Arial" w:cs="Arial"/>
                <w:sz w:val="20"/>
                <w:szCs w:val="20"/>
              </w:rPr>
              <w:t>.  An example might be t</w:t>
            </w:r>
            <w:r w:rsidR="009009F6" w:rsidRPr="00593738">
              <w:rPr>
                <w:rFonts w:ascii="Arial" w:hAnsi="Arial" w:cs="Arial"/>
                <w:sz w:val="20"/>
                <w:szCs w:val="20"/>
              </w:rPr>
              <w:t xml:space="preserve">o recommend </w:t>
            </w:r>
            <w:r w:rsidR="00D919D0" w:rsidRPr="00593738">
              <w:rPr>
                <w:rFonts w:ascii="Arial" w:hAnsi="Arial" w:cs="Arial"/>
                <w:sz w:val="20"/>
                <w:szCs w:val="20"/>
              </w:rPr>
              <w:t>switches between investment manager</w:t>
            </w:r>
            <w:r>
              <w:rPr>
                <w:rFonts w:ascii="Arial" w:hAnsi="Arial" w:cs="Arial"/>
                <w:sz w:val="20"/>
                <w:szCs w:val="20"/>
              </w:rPr>
              <w:t>s or mandates, or provide insight to performance attribution</w:t>
            </w:r>
            <w:r w:rsidR="006D43AE" w:rsidRPr="005937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2E51EF" w14:textId="584EEDCB" w:rsidR="00593738" w:rsidRPr="00593738" w:rsidRDefault="003108AF" w:rsidP="005937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090880">
              <w:rPr>
                <w:rFonts w:ascii="Arial" w:hAnsi="Arial" w:cs="Arial"/>
                <w:sz w:val="20"/>
                <w:szCs w:val="20"/>
              </w:rPr>
              <w:t>Director of Investments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in m</w:t>
            </w:r>
            <w:r w:rsidR="006D43AE" w:rsidRPr="006E1A25">
              <w:rPr>
                <w:rFonts w:ascii="Arial" w:hAnsi="Arial" w:cs="Arial"/>
                <w:sz w:val="20"/>
                <w:szCs w:val="20"/>
              </w:rPr>
              <w:t>ak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6D43AE" w:rsidRPr="006E1A25">
              <w:rPr>
                <w:rFonts w:ascii="Arial" w:hAnsi="Arial" w:cs="Arial"/>
                <w:sz w:val="20"/>
                <w:szCs w:val="20"/>
              </w:rPr>
              <w:t xml:space="preserve"> informed investment </w:t>
            </w:r>
            <w:r w:rsidR="006D43AE">
              <w:rPr>
                <w:rFonts w:ascii="Arial" w:hAnsi="Arial" w:cs="Arial"/>
                <w:sz w:val="20"/>
                <w:szCs w:val="20"/>
              </w:rPr>
              <w:t xml:space="preserve">and hedging </w:t>
            </w:r>
            <w:r w:rsidR="006D43AE" w:rsidRPr="006E1A25">
              <w:rPr>
                <w:rFonts w:ascii="Arial" w:hAnsi="Arial" w:cs="Arial"/>
                <w:sz w:val="20"/>
                <w:szCs w:val="20"/>
              </w:rPr>
              <w:t xml:space="preserve">decisions based on financial analysis, market conditions, and </w:t>
            </w:r>
            <w:r w:rsidR="00427446">
              <w:rPr>
                <w:rFonts w:ascii="Arial" w:hAnsi="Arial" w:cs="Arial"/>
                <w:sz w:val="20"/>
                <w:szCs w:val="20"/>
              </w:rPr>
              <w:t>organisational</w:t>
            </w:r>
            <w:r w:rsidR="006D43AE" w:rsidRPr="006E1A25">
              <w:rPr>
                <w:rFonts w:ascii="Arial" w:hAnsi="Arial" w:cs="Arial"/>
                <w:sz w:val="20"/>
                <w:szCs w:val="20"/>
              </w:rPr>
              <w:t xml:space="preserve"> strategy.</w:t>
            </w:r>
            <w:r w:rsidR="005937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827" w:type="dxa"/>
          </w:tcPr>
          <w:p w14:paraId="0292D428" w14:textId="77777777" w:rsidR="00FD4182" w:rsidRDefault="00FD4182" w:rsidP="00FD4182">
            <w:pPr>
              <w:pStyle w:val="ListParagraph"/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63C17EED" w14:textId="77777777" w:rsidR="00F00BBA" w:rsidRDefault="00F00BBA" w:rsidP="00FD4182">
            <w:pPr>
              <w:pStyle w:val="ListParagraph"/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50143E90" w14:textId="27EDC7DC" w:rsidR="00FD4182" w:rsidRPr="005722FF" w:rsidRDefault="005722FF" w:rsidP="007735C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722FF">
              <w:rPr>
                <w:rFonts w:ascii="Arial" w:hAnsi="Arial" w:cs="Arial"/>
                <w:sz w:val="20"/>
                <w:szCs w:val="20"/>
              </w:rPr>
              <w:t>Consistency of Market benchmarks</w:t>
            </w:r>
            <w:r>
              <w:rPr>
                <w:rFonts w:ascii="Arial" w:hAnsi="Arial" w:cs="Arial"/>
                <w:sz w:val="20"/>
                <w:szCs w:val="20"/>
              </w:rPr>
              <w:t xml:space="preserve">, active risk </w:t>
            </w:r>
            <w:r w:rsidRPr="005722F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D4182" w:rsidRPr="005722FF">
              <w:rPr>
                <w:rFonts w:ascii="Arial" w:hAnsi="Arial" w:cs="Arial"/>
                <w:sz w:val="20"/>
                <w:szCs w:val="20"/>
              </w:rPr>
              <w:t>Investment Return Targets</w:t>
            </w:r>
          </w:p>
          <w:p w14:paraId="33B0EF82" w14:textId="630C92B5" w:rsidR="00FD4182" w:rsidRDefault="005722FF" w:rsidP="00FD4182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of reporting (stakeholder feedback); and subsequent effective implementation</w:t>
            </w:r>
          </w:p>
          <w:p w14:paraId="7E09F139" w14:textId="2F1C6C1B" w:rsidR="004020D9" w:rsidRPr="00682B78" w:rsidRDefault="005722FF" w:rsidP="00FD4182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Effectiveness of hedging, balance of assets and liquidity vs SAA and risk appetites 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435E2BED" w14:textId="77777777" w:rsidR="00B96C1D" w:rsidRPr="00682B78" w:rsidRDefault="00B96C1D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4FDF77" w14:textId="7EA143A0" w:rsidR="005722FF" w:rsidRDefault="005722FF" w:rsidP="00B96C1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broad understanding of how portfolio returns flow into member outcomes (eg premiums and fund capital/surplus cover).</w:t>
            </w:r>
          </w:p>
          <w:p w14:paraId="708B5A33" w14:textId="2DF79937" w:rsidR="00B96C1D" w:rsidRPr="005C52BF" w:rsidRDefault="00B96C1D" w:rsidP="00B96C1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ESG across the investment portfolio</w:t>
            </w:r>
            <w:r w:rsidR="00884B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22FF">
              <w:rPr>
                <w:rFonts w:ascii="Arial" w:hAnsi="Arial" w:cs="Arial"/>
                <w:sz w:val="20"/>
                <w:szCs w:val="20"/>
              </w:rPr>
              <w:t>monitoring</w:t>
            </w:r>
            <w:r w:rsidR="00884BDF">
              <w:rPr>
                <w:rFonts w:ascii="Arial" w:hAnsi="Arial" w:cs="Arial"/>
                <w:sz w:val="20"/>
                <w:szCs w:val="20"/>
              </w:rPr>
              <w:t xml:space="preserve"> ESG criteria within performance benchmarks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deliver on the ESG strategy for members.</w:t>
            </w:r>
          </w:p>
          <w:p w14:paraId="2D104AAB" w14:textId="70515B7D" w:rsidR="00B96C1D" w:rsidRDefault="00B96C1D" w:rsidP="00B96C1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new investment ideas and the suitability for </w:t>
            </w:r>
            <w:r w:rsidR="004274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MPS Fund</w:t>
            </w:r>
            <w:r w:rsidR="00427446">
              <w:rPr>
                <w:rFonts w:ascii="Arial" w:hAnsi="Arial" w:cs="Arial"/>
                <w:sz w:val="20"/>
                <w:szCs w:val="20"/>
              </w:rPr>
              <w:t xml:space="preserve"> which improve its ESG score</w:t>
            </w: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BD976A4" w14:textId="77777777" w:rsidR="004020D9" w:rsidRDefault="004020D9" w:rsidP="004C311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4E5516A" w14:textId="77777777" w:rsidR="004C3112" w:rsidRDefault="004C3112" w:rsidP="004C311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F03BCC" w14:textId="1B09A178" w:rsidR="005722FF" w:rsidRDefault="005722FF" w:rsidP="004C311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into idea generation and evolution of the investment strategy being consistent with member preferences/outcomes</w:t>
            </w:r>
          </w:p>
          <w:p w14:paraId="6A500F12" w14:textId="61CB6BB7" w:rsidR="004C3112" w:rsidRDefault="004C3112" w:rsidP="004C311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ESG Targets</w:t>
            </w:r>
          </w:p>
          <w:p w14:paraId="0C10A9C7" w14:textId="38C4A08D" w:rsidR="004C3112" w:rsidRPr="008D1E4B" w:rsidRDefault="004C3112" w:rsidP="004C311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UNPRI progression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C26DF4" w14:textId="77777777" w:rsidR="00594519" w:rsidRDefault="00594519" w:rsidP="005945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F08136B" w14:textId="77777777" w:rsidR="00594519" w:rsidRPr="00B75089" w:rsidRDefault="00594519" w:rsidP="005945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EB3DF" w14:textId="4945D172" w:rsidR="00594519" w:rsidRPr="004F3CC3" w:rsidRDefault="005722FF" w:rsidP="000908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productively and collaboratively with colleagues in the Finance team, but especially across Risk and Capital teams</w:t>
            </w:r>
          </w:p>
          <w:p w14:paraId="6FD72C01" w14:textId="5FD65BDC" w:rsidR="00594519" w:rsidRPr="004F3CC3" w:rsidRDefault="005722FF" w:rsidP="000908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engage with others</w:t>
            </w:r>
            <w:r w:rsidR="00566CEC">
              <w:rPr>
                <w:rFonts w:ascii="Arial" w:hAnsi="Arial" w:cs="Arial"/>
                <w:sz w:val="20"/>
                <w:szCs w:val="20"/>
              </w:rPr>
              <w:t xml:space="preserve"> (eg non-investment experts)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CEC">
              <w:rPr>
                <w:rFonts w:ascii="Arial" w:hAnsi="Arial" w:cs="Arial"/>
                <w:sz w:val="20"/>
                <w:szCs w:val="20"/>
              </w:rPr>
              <w:t>to persuade/influence the case for accretive investments, or risk mitigation strategies</w:t>
            </w:r>
            <w:r w:rsidR="00594519" w:rsidRPr="004F3C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231F70" w14:textId="77777777" w:rsidR="00090880" w:rsidRDefault="00090880" w:rsidP="00090880">
            <w:pPr>
              <w:pStyle w:val="CommentTex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Take the lead on promoting a more inclusive environment, which aligns with our commitment to celebrate and promote diversity.</w:t>
            </w:r>
          </w:p>
          <w:p w14:paraId="4A1DB56A" w14:textId="17941548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771707" w14:textId="77777777" w:rsidR="004020D9" w:rsidRDefault="004020D9" w:rsidP="00200C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2F459403" w14:textId="77777777" w:rsidR="00200C9B" w:rsidRDefault="00200C9B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4051C2F7" w14:textId="77777777" w:rsidR="00566CEC" w:rsidRDefault="00566CEC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knowledge enhancement outside the team</w:t>
            </w:r>
          </w:p>
          <w:p w14:paraId="34BA37B0" w14:textId="77777777" w:rsidR="00566CEC" w:rsidRDefault="00566CEC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people metrics (eg Engagement score)</w:t>
            </w:r>
          </w:p>
          <w:p w14:paraId="2FB9EE7F" w14:textId="77777777" w:rsidR="00090880" w:rsidRDefault="00090880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0AFF3A88" w14:textId="77777777" w:rsidR="00090880" w:rsidRDefault="00090880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7C753650" w14:textId="77777777" w:rsidR="00090880" w:rsidRDefault="00090880" w:rsidP="00090880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index vs MPS</w:t>
            </w:r>
          </w:p>
          <w:p w14:paraId="53674021" w14:textId="3D6E0A70" w:rsidR="00090880" w:rsidRPr="00200C9B" w:rsidRDefault="00090880" w:rsidP="00090880">
            <w:pPr>
              <w:pStyle w:val="ListParagraph"/>
              <w:tabs>
                <w:tab w:val="left" w:pos="3145"/>
              </w:tabs>
              <w:spacing w:before="100"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32D4BE6D" w14:textId="2A22A7B6" w:rsidR="00E32569" w:rsidRPr="004F3CC3" w:rsidRDefault="0053182A" w:rsidP="00E3256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090880">
              <w:rPr>
                <w:rFonts w:ascii="Arial" w:hAnsi="Arial" w:cs="Arial"/>
                <w:sz w:val="20"/>
                <w:szCs w:val="20"/>
              </w:rPr>
              <w:t>Director of Investments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in de</w:t>
            </w:r>
            <w:r w:rsidR="00E32569" w:rsidRPr="004F3CC3">
              <w:rPr>
                <w:rFonts w:ascii="Arial" w:hAnsi="Arial" w:cs="Arial"/>
                <w:sz w:val="20"/>
                <w:szCs w:val="20"/>
              </w:rPr>
              <w:t>velop</w:t>
            </w:r>
            <w:r w:rsidR="00566CEC">
              <w:rPr>
                <w:rFonts w:ascii="Arial" w:hAnsi="Arial" w:cs="Arial"/>
                <w:sz w:val="20"/>
                <w:szCs w:val="20"/>
              </w:rPr>
              <w:t>ing</w:t>
            </w:r>
            <w:r w:rsidR="00E32569" w:rsidRPr="004F3CC3">
              <w:rPr>
                <w:rFonts w:ascii="Arial" w:hAnsi="Arial" w:cs="Arial"/>
                <w:sz w:val="20"/>
                <w:szCs w:val="20"/>
              </w:rPr>
              <w:t xml:space="preserve"> and implement</w:t>
            </w:r>
            <w:r w:rsidR="00566CEC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569" w:rsidRPr="004F3CC3">
              <w:rPr>
                <w:rFonts w:ascii="Arial" w:hAnsi="Arial" w:cs="Arial"/>
                <w:sz w:val="20"/>
                <w:szCs w:val="20"/>
              </w:rPr>
              <w:t xml:space="preserve">investment risk management strategies to safeguard the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="00E32569" w:rsidRPr="004F3CC3">
              <w:rPr>
                <w:rFonts w:ascii="Arial" w:hAnsi="Arial" w:cs="Arial"/>
                <w:sz w:val="20"/>
                <w:szCs w:val="20"/>
              </w:rPr>
              <w:t>’s investments.</w:t>
            </w:r>
          </w:p>
          <w:p w14:paraId="5CBA67ED" w14:textId="77777777" w:rsidR="00566CEC" w:rsidRPr="004F3CC3" w:rsidRDefault="00566CEC" w:rsidP="00566CEC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C3">
              <w:rPr>
                <w:rFonts w:ascii="Arial" w:hAnsi="Arial" w:cs="Arial"/>
                <w:sz w:val="20"/>
                <w:szCs w:val="20"/>
              </w:rPr>
              <w:t>Maintain a robust compliance framework to manage legal, regulatory, internal policy risks associated with investments.</w:t>
            </w:r>
          </w:p>
          <w:p w14:paraId="248D4866" w14:textId="7EFFB4A0" w:rsidR="00E32569" w:rsidRPr="004F3CC3" w:rsidRDefault="00E32569" w:rsidP="00FB18A5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3CC3">
              <w:rPr>
                <w:rFonts w:ascii="Arial" w:hAnsi="Arial" w:cs="Arial"/>
                <w:sz w:val="20"/>
                <w:szCs w:val="20"/>
              </w:rPr>
              <w:t>Monitor changes in market conditions, regulations, and economic indicators, and adjust the investment strategy as needed.</w:t>
            </w:r>
          </w:p>
          <w:p w14:paraId="0BEE2BFE" w14:textId="577D32EB" w:rsidR="00BE01EF" w:rsidRPr="00682B78" w:rsidRDefault="00BE01EF" w:rsidP="00090880">
            <w:pPr>
              <w:pStyle w:val="ListParagraph"/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829AF33" w14:textId="77777777" w:rsidR="00B3418A" w:rsidRDefault="00B3418A" w:rsidP="00B3418A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5B30B60D" w14:textId="77777777" w:rsidR="00B3418A" w:rsidRPr="00B3418A" w:rsidRDefault="00B3418A" w:rsidP="00B3418A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4D6C3B7C" w14:textId="7F407DDE" w:rsidR="00B3418A" w:rsidRPr="003E1714" w:rsidRDefault="00B3418A" w:rsidP="00B3418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3B57">
              <w:rPr>
                <w:rFonts w:ascii="Arial" w:eastAsia="Calibri" w:hAnsi="Arial" w:cs="Arial"/>
                <w:sz w:val="20"/>
                <w:szCs w:val="20"/>
              </w:rPr>
              <w:t>Risk &amp; Control Self Assessments</w:t>
            </w:r>
          </w:p>
          <w:p w14:paraId="4C32D113" w14:textId="77777777" w:rsidR="00B3418A" w:rsidRPr="00603B57" w:rsidRDefault="00B3418A" w:rsidP="00B3418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3B57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099B8B83" w14:textId="77777777" w:rsidR="00B3418A" w:rsidRPr="00B3418A" w:rsidRDefault="00B3418A" w:rsidP="00B3418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3B57">
              <w:rPr>
                <w:rFonts w:ascii="Arial" w:eastAsia="Calibri" w:hAnsi="Arial" w:cs="Arial"/>
                <w:sz w:val="20"/>
                <w:szCs w:val="20"/>
              </w:rPr>
              <w:t xml:space="preserve">Banking covenants </w:t>
            </w:r>
          </w:p>
          <w:p w14:paraId="4B1A6020" w14:textId="02296886" w:rsidR="004020D9" w:rsidRPr="00B3418A" w:rsidRDefault="00B3418A" w:rsidP="00B3418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3B57">
              <w:rPr>
                <w:rFonts w:ascii="Arial" w:eastAsia="Calibri" w:hAnsi="Arial" w:cs="Arial"/>
                <w:sz w:val="20"/>
                <w:szCs w:val="20"/>
              </w:rPr>
              <w:t>Liquidity reports</w:t>
            </w:r>
          </w:p>
        </w:tc>
      </w:tr>
    </w:tbl>
    <w:p w14:paraId="35FC2375" w14:textId="0378DDBC" w:rsidR="00682B78" w:rsidRDefault="00682B78">
      <w:pPr>
        <w:rPr>
          <w:rFonts w:ascii="Arial" w:hAnsi="Arial" w:cs="Arial"/>
          <w:sz w:val="20"/>
          <w:szCs w:val="20"/>
        </w:rPr>
      </w:pPr>
    </w:p>
    <w:p w14:paraId="265C51DF" w14:textId="77777777" w:rsidR="00CF3749" w:rsidRPr="00682B78" w:rsidRDefault="00CF37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17BFA467" w14:textId="77777777" w:rsidR="003D2019" w:rsidRPr="00627157" w:rsidRDefault="003D2019" w:rsidP="003D20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627157">
              <w:rPr>
                <w:rFonts w:ascii="Arial" w:hAnsi="Arial" w:cs="Arial"/>
                <w:sz w:val="20"/>
              </w:rPr>
              <w:t>Offer meaningful decision points to MPS governance forums to ensure that MPS operates within risk appetite, and decision makers are fully informed and equipped as to where financial opportunities exist.</w:t>
            </w:r>
          </w:p>
          <w:p w14:paraId="2E12C787" w14:textId="39D39600" w:rsidR="003D2019" w:rsidRDefault="00566CEC" w:rsidP="003D20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3D2019" w:rsidRPr="00DC3BF6">
              <w:rPr>
                <w:rFonts w:ascii="Arial" w:hAnsi="Arial" w:cs="Arial"/>
                <w:sz w:val="20"/>
              </w:rPr>
              <w:t xml:space="preserve">eep abreast of evolving legislation and best </w:t>
            </w:r>
            <w:r>
              <w:rPr>
                <w:rFonts w:ascii="Arial" w:hAnsi="Arial" w:cs="Arial"/>
                <w:sz w:val="20"/>
              </w:rPr>
              <w:t xml:space="preserve">market </w:t>
            </w:r>
            <w:r w:rsidR="003D2019" w:rsidRPr="00DC3BF6">
              <w:rPr>
                <w:rFonts w:ascii="Arial" w:hAnsi="Arial" w:cs="Arial"/>
                <w:sz w:val="20"/>
              </w:rPr>
              <w:t xml:space="preserve">practice; recommend opportunities for MPS to become more efficient and effective in </w:t>
            </w:r>
            <w:r>
              <w:rPr>
                <w:rFonts w:ascii="Arial" w:hAnsi="Arial" w:cs="Arial"/>
                <w:sz w:val="20"/>
              </w:rPr>
              <w:t xml:space="preserve">investment </w:t>
            </w:r>
            <w:r w:rsidR="003D2019" w:rsidRPr="00DC3BF6">
              <w:rPr>
                <w:rFonts w:ascii="Arial" w:hAnsi="Arial" w:cs="Arial"/>
                <w:sz w:val="20"/>
              </w:rPr>
              <w:t>practices</w:t>
            </w:r>
          </w:p>
          <w:p w14:paraId="5AE487B2" w14:textId="77777777" w:rsidR="00566CEC" w:rsidRPr="00562802" w:rsidRDefault="00566CEC" w:rsidP="00566CE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14:paraId="217D6428" w14:textId="77777777" w:rsidR="003D2019" w:rsidRPr="00A31F1B" w:rsidRDefault="003D2019" w:rsidP="003D20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627157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622AB9B5" w14:textId="77777777" w:rsidR="00562802" w:rsidRPr="00562802" w:rsidRDefault="00562802" w:rsidP="003D201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14:paraId="6AD0F90E" w14:textId="0E88BB3A" w:rsidR="00BE01EF" w:rsidRPr="00626F11" w:rsidRDefault="00BE01EF" w:rsidP="00090880">
            <w:pPr>
              <w:pStyle w:val="ListParagraph"/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5AC9C98D" w14:textId="68D895C8" w:rsidR="005F3ACA" w:rsidRDefault="005F3ACA" w:rsidP="005F3A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090880">
              <w:rPr>
                <w:rFonts w:ascii="Arial" w:hAnsi="Arial" w:cs="Arial"/>
                <w:sz w:val="20"/>
                <w:szCs w:val="20"/>
              </w:rPr>
              <w:t>Director of Investments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in preparing papers for and attendance at Asset and Liability Committee and Board / Risk Meetings</w:t>
            </w:r>
          </w:p>
          <w:p w14:paraId="0E5B6D30" w14:textId="77777777" w:rsidR="00612098" w:rsidRDefault="005F3ACA" w:rsidP="005F3A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and chair of Investment Manager Meetings</w:t>
            </w:r>
            <w:r w:rsidRPr="00682B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D7C75" w14:textId="6292AAFD" w:rsidR="000774BB" w:rsidRPr="00682B78" w:rsidRDefault="000774BB" w:rsidP="005F3A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</w:t>
            </w:r>
            <w:r w:rsidR="004C0D9A">
              <w:rPr>
                <w:rFonts w:ascii="Arial" w:hAnsi="Arial" w:cs="Arial"/>
                <w:sz w:val="20"/>
                <w:szCs w:val="20"/>
              </w:rPr>
              <w:t>ly act as stand-in for Chief Investment Officer, where business demands dictate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6233D633" w:rsidR="00BE01EF" w:rsidRPr="00682B78" w:rsidRDefault="00090880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0741D7B0" w:rsidR="00BE01EF" w:rsidRPr="00682B78" w:rsidRDefault="00CB3553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7A73E25C" w:rsidR="00BE01EF" w:rsidRPr="00682B78" w:rsidRDefault="00CB3553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3EFC5DE7" w:rsidR="00BE01EF" w:rsidRPr="00682B78" w:rsidRDefault="00CB3553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2FCEB96A" w:rsidR="00BE01EF" w:rsidRPr="00682B78" w:rsidRDefault="00CB3553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67C3F016" w:rsidR="00BE01EF" w:rsidRPr="00682B78" w:rsidRDefault="00CB3553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371"/>
        <w:gridCol w:w="2977"/>
        <w:gridCol w:w="3208"/>
      </w:tblGrid>
      <w:tr w:rsidR="00BE01EF" w:rsidRPr="00682B78" w14:paraId="5FACFC7C" w14:textId="77777777" w:rsidTr="00DA7E0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20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DA7E0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371" w:type="dxa"/>
            <w:shd w:val="clear" w:color="auto" w:fill="auto"/>
          </w:tcPr>
          <w:p w14:paraId="2D6E5DFC" w14:textId="77777777" w:rsidR="00E454B1" w:rsidRPr="00E454B1" w:rsidRDefault="00E454B1" w:rsidP="00E454B1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6856E9">
              <w:rPr>
                <w:rFonts w:ascii="Arial" w:eastAsia="Calibri" w:hAnsi="Arial" w:cs="Arial"/>
                <w:sz w:val="20"/>
                <w:szCs w:val="20"/>
              </w:rPr>
              <w:t>Bachelor’s degree in Finance, Economics, Business, or a related field.</w:t>
            </w:r>
          </w:p>
          <w:p w14:paraId="78BD48C8" w14:textId="713F88C2" w:rsidR="00BE01EF" w:rsidRPr="00682B78" w:rsidRDefault="00E454B1" w:rsidP="00E454B1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6856E9">
              <w:rPr>
                <w:rFonts w:ascii="Arial" w:eastAsia="Calibri" w:hAnsi="Arial" w:cs="Arial"/>
                <w:sz w:val="20"/>
                <w:szCs w:val="20"/>
              </w:rPr>
              <w:t>Professional certifications such as CFA (Chartered Financial Analyst) or equivalent</w:t>
            </w:r>
            <w:r w:rsidRPr="00682B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730AA79" w14:textId="77777777" w:rsidR="00811E4F" w:rsidRPr="00577603" w:rsidRDefault="00811E4F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577603">
              <w:rPr>
                <w:rFonts w:ascii="Arial" w:eastAsia="Calibri" w:hAnsi="Arial" w:cs="Arial"/>
                <w:sz w:val="20"/>
                <w:szCs w:val="20"/>
              </w:rPr>
              <w:t>trong analytical and quantitative skills with the ability to conduct complex financial analysis.</w:t>
            </w:r>
          </w:p>
          <w:p w14:paraId="5C487486" w14:textId="77777777" w:rsidR="00811E4F" w:rsidRPr="00577603" w:rsidRDefault="00811E4F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 w:rsidRPr="00577603">
              <w:rPr>
                <w:rFonts w:ascii="Arial" w:eastAsia="Calibri" w:hAnsi="Arial" w:cs="Arial"/>
                <w:sz w:val="20"/>
                <w:szCs w:val="20"/>
              </w:rPr>
              <w:t>In-depth knowledge of financial markets, investment strategies, and economic trends.</w:t>
            </w:r>
          </w:p>
          <w:p w14:paraId="62AB1C7B" w14:textId="506A5EE4" w:rsidR="00811E4F" w:rsidRPr="00577603" w:rsidRDefault="00566CEC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 w:rsidR="00811E4F" w:rsidRPr="00577603">
              <w:rPr>
                <w:rFonts w:ascii="Arial" w:eastAsia="Calibri" w:hAnsi="Arial" w:cs="Arial"/>
                <w:sz w:val="20"/>
                <w:szCs w:val="20"/>
              </w:rPr>
              <w:t xml:space="preserve"> communication and presentation skills, with the ability to articulate investment strategies to diverse stakeholders.</w:t>
            </w:r>
          </w:p>
          <w:p w14:paraId="597098C9" w14:textId="77777777" w:rsidR="00811E4F" w:rsidRDefault="00811E4F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 w:rsidRPr="00577603">
              <w:rPr>
                <w:rFonts w:ascii="Arial" w:eastAsia="Calibri" w:hAnsi="Arial" w:cs="Arial"/>
                <w:sz w:val="20"/>
                <w:szCs w:val="20"/>
              </w:rPr>
              <w:t>Strong problem-solving skills and the ability to make decisions under uncertainty.</w:t>
            </w:r>
          </w:p>
          <w:p w14:paraId="4FA24BC2" w14:textId="77777777" w:rsidR="00811E4F" w:rsidRDefault="00811E4F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 w:rsidRPr="00577603">
              <w:rPr>
                <w:rFonts w:ascii="Arial" w:eastAsia="Calibri" w:hAnsi="Arial" w:cs="Arial"/>
                <w:sz w:val="20"/>
                <w:szCs w:val="20"/>
              </w:rPr>
              <w:t>High level of integrity and ethical standards in managing investments.</w:t>
            </w:r>
          </w:p>
          <w:p w14:paraId="51933CC2" w14:textId="77777777" w:rsidR="00090880" w:rsidRPr="00577603" w:rsidRDefault="00090880" w:rsidP="0009088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right="-113"/>
              <w:rPr>
                <w:rFonts w:ascii="Arial" w:eastAsia="Calibri" w:hAnsi="Arial" w:cs="Arial"/>
                <w:sz w:val="20"/>
                <w:szCs w:val="20"/>
              </w:rPr>
            </w:pPr>
            <w:r w:rsidRPr="00577603">
              <w:rPr>
                <w:rFonts w:ascii="Arial" w:eastAsia="Calibri" w:hAnsi="Arial" w:cs="Arial"/>
                <w:sz w:val="20"/>
                <w:szCs w:val="20"/>
              </w:rPr>
              <w:t xml:space="preserve">Excellent team management skills, </w:t>
            </w:r>
            <w:r>
              <w:rPr>
                <w:rFonts w:ascii="Arial" w:eastAsia="Calibri" w:hAnsi="Arial" w:cs="Arial"/>
                <w:sz w:val="20"/>
                <w:szCs w:val="20"/>
              </w:rPr>
              <w:t>ability to motivate, coach and develop individual and team capabilities</w:t>
            </w:r>
          </w:p>
          <w:p w14:paraId="5A823E0C" w14:textId="77777777" w:rsidR="00090880" w:rsidRPr="00577603" w:rsidRDefault="00090880" w:rsidP="00090880">
            <w:pPr>
              <w:pStyle w:val="ListParagraph"/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9E0EA7" w14:textId="66E480DE" w:rsidR="00BE01EF" w:rsidRPr="00682B78" w:rsidRDefault="00BE01EF" w:rsidP="00693558">
            <w:pPr>
              <w:pStyle w:val="ListParagraph"/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154CAFB7" w14:textId="665E9A6A" w:rsidR="00B60FF7" w:rsidRDefault="00090880" w:rsidP="00A55D0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B60FF7">
              <w:rPr>
                <w:rFonts w:ascii="Arial" w:eastAsia="Calibri" w:hAnsi="Arial" w:cs="Arial"/>
                <w:sz w:val="20"/>
                <w:szCs w:val="20"/>
              </w:rPr>
              <w:t>xperience in investment markets</w:t>
            </w:r>
          </w:p>
          <w:p w14:paraId="5B765E53" w14:textId="5EA94D52" w:rsidR="003463A2" w:rsidRDefault="00693558" w:rsidP="00A55D0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</w:t>
            </w:r>
            <w:r w:rsidR="00E46AD8">
              <w:rPr>
                <w:rFonts w:ascii="Arial" w:eastAsia="Calibri" w:hAnsi="Arial" w:cs="Arial"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 track record of managing </w:t>
            </w:r>
            <w:r w:rsidR="00566CEC">
              <w:rPr>
                <w:rFonts w:ascii="Arial" w:eastAsia="Calibri" w:hAnsi="Arial" w:cs="Arial"/>
                <w:sz w:val="20"/>
                <w:szCs w:val="20"/>
              </w:rPr>
              <w:t>a portfolio of</w:t>
            </w:r>
            <w:r w:rsidR="00542102">
              <w:rPr>
                <w:rFonts w:ascii="Arial" w:eastAsia="Calibri" w:hAnsi="Arial" w:cs="Arial"/>
                <w:sz w:val="20"/>
                <w:szCs w:val="20"/>
              </w:rPr>
              <w:t xml:space="preserve"> third</w:t>
            </w:r>
            <w:r w:rsidR="00566CEC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542102">
              <w:rPr>
                <w:rFonts w:ascii="Arial" w:eastAsia="Calibri" w:hAnsi="Arial" w:cs="Arial"/>
                <w:sz w:val="20"/>
                <w:szCs w:val="20"/>
              </w:rPr>
              <w:t xml:space="preserve">party </w:t>
            </w:r>
            <w:r w:rsidR="008071CE">
              <w:rPr>
                <w:rFonts w:ascii="Arial" w:eastAsia="Calibri" w:hAnsi="Arial" w:cs="Arial"/>
                <w:sz w:val="20"/>
                <w:szCs w:val="20"/>
              </w:rPr>
              <w:t>investment managers</w:t>
            </w:r>
            <w:r w:rsidR="001B1537">
              <w:rPr>
                <w:rFonts w:ascii="Arial" w:eastAsia="Calibri" w:hAnsi="Arial" w:cs="Arial"/>
                <w:sz w:val="20"/>
                <w:szCs w:val="20"/>
              </w:rPr>
              <w:t xml:space="preserve"> and achieving financial objectives</w:t>
            </w:r>
          </w:p>
          <w:p w14:paraId="5FB521B5" w14:textId="5B1C6641" w:rsidR="00693558" w:rsidRDefault="00566CEC" w:rsidP="00A55D0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Good </w:t>
            </w:r>
            <w:r w:rsidR="00693558">
              <w:rPr>
                <w:rFonts w:ascii="Arial" w:eastAsia="Calibri" w:hAnsi="Arial" w:cs="Arial"/>
                <w:sz w:val="20"/>
                <w:szCs w:val="20"/>
              </w:rPr>
              <w:t>network a</w:t>
            </w:r>
            <w:r w:rsidR="00F130B4">
              <w:rPr>
                <w:rFonts w:ascii="Arial" w:eastAsia="Calibri" w:hAnsi="Arial" w:cs="Arial"/>
                <w:sz w:val="20"/>
                <w:szCs w:val="20"/>
              </w:rPr>
              <w:t>cross investment markets</w:t>
            </w:r>
            <w:r w:rsidR="00693558">
              <w:rPr>
                <w:rFonts w:ascii="Arial" w:eastAsia="Calibri" w:hAnsi="Arial" w:cs="Arial"/>
                <w:sz w:val="20"/>
                <w:szCs w:val="20"/>
              </w:rPr>
              <w:t xml:space="preserve"> relevant to MPS current and potential investment risk appetite</w:t>
            </w:r>
          </w:p>
          <w:p w14:paraId="7AF37ECF" w14:textId="46D2913B" w:rsidR="00693558" w:rsidRDefault="00693558" w:rsidP="00A55D0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  <w:r w:rsidRPr="00693558">
              <w:rPr>
                <w:rFonts w:ascii="Arial" w:eastAsia="Calibri" w:hAnsi="Arial" w:cs="Arial"/>
                <w:sz w:val="20"/>
                <w:szCs w:val="20"/>
              </w:rPr>
              <w:t xml:space="preserve">Experience in various asset classes, </w:t>
            </w:r>
            <w:r w:rsidR="00DA7E02">
              <w:rPr>
                <w:rFonts w:ascii="Arial" w:eastAsia="Calibri" w:hAnsi="Arial" w:cs="Arial"/>
                <w:sz w:val="20"/>
                <w:szCs w:val="20"/>
              </w:rPr>
              <w:t>such as liability hedging, credit (including alt credit),</w:t>
            </w:r>
            <w:r w:rsidRPr="00693558">
              <w:rPr>
                <w:rFonts w:ascii="Arial" w:eastAsia="Calibri" w:hAnsi="Arial" w:cs="Arial"/>
                <w:sz w:val="20"/>
                <w:szCs w:val="20"/>
              </w:rPr>
              <w:t xml:space="preserve"> equities, fixed income</w:t>
            </w:r>
            <w:r w:rsidR="00DA7E0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66C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93558">
              <w:rPr>
                <w:rFonts w:ascii="Arial" w:eastAsia="Calibri" w:hAnsi="Arial" w:cs="Arial"/>
                <w:sz w:val="20"/>
                <w:szCs w:val="20"/>
              </w:rPr>
              <w:t xml:space="preserve"> real estate, and alternatives</w:t>
            </w:r>
          </w:p>
          <w:p w14:paraId="67AE8AC6" w14:textId="534C993D" w:rsidR="00DA7E02" w:rsidRPr="00693558" w:rsidRDefault="00DA7E02" w:rsidP="00A55D0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ind w:left="360" w:right="-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Familiarity with asset and liability modelling techniques and practice</w:t>
            </w:r>
          </w:p>
          <w:p w14:paraId="1AA4E906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DA7E02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371" w:type="dxa"/>
            <w:shd w:val="clear" w:color="auto" w:fill="auto"/>
          </w:tcPr>
          <w:p w14:paraId="16C2B9AA" w14:textId="77777777" w:rsidR="002D360F" w:rsidRPr="002D360F" w:rsidRDefault="002D360F" w:rsidP="002D360F">
            <w:pPr>
              <w:pStyle w:val="ListParagraph"/>
              <w:spacing w:before="100" w:beforeAutospacing="1" w:afterAutospacing="1"/>
              <w:ind w:left="360" w:right="-113"/>
              <w:rPr>
                <w:rFonts w:ascii="Arial" w:hAnsi="Arial" w:cs="Arial"/>
                <w:sz w:val="20"/>
                <w:szCs w:val="20"/>
              </w:rPr>
            </w:pPr>
          </w:p>
          <w:p w14:paraId="0852D06A" w14:textId="77777777" w:rsidR="00566CEC" w:rsidRPr="00566CEC" w:rsidRDefault="00566CEC" w:rsidP="002D360F">
            <w:pPr>
              <w:pStyle w:val="ListParagraph"/>
              <w:numPr>
                <w:ilvl w:val="0"/>
                <w:numId w:val="27"/>
              </w:numPr>
              <w:spacing w:before="100" w:beforeAutospacing="1" w:afterAutospacing="1"/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Actuarial qualification/training</w:t>
            </w:r>
          </w:p>
          <w:p w14:paraId="20F09D5E" w14:textId="3D1922A4" w:rsidR="002D360F" w:rsidRPr="002D360F" w:rsidRDefault="002D360F" w:rsidP="002D360F">
            <w:pPr>
              <w:pStyle w:val="ListParagraph"/>
              <w:numPr>
                <w:ilvl w:val="0"/>
                <w:numId w:val="27"/>
              </w:numPr>
              <w:spacing w:before="100" w:beforeAutospacing="1" w:afterAutospacing="1"/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Treasury Experience</w:t>
            </w:r>
          </w:p>
          <w:p w14:paraId="2F7937A5" w14:textId="6C121605" w:rsidR="00BE01EF" w:rsidRPr="00682B78" w:rsidRDefault="002D360F" w:rsidP="00566CEC">
            <w:pPr>
              <w:pStyle w:val="ListParagraph"/>
              <w:numPr>
                <w:ilvl w:val="0"/>
                <w:numId w:val="27"/>
              </w:numPr>
              <w:spacing w:before="100" w:beforeAutospacing="1" w:afterAutospacing="1"/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Insurance Experience</w:t>
            </w:r>
          </w:p>
        </w:tc>
        <w:tc>
          <w:tcPr>
            <w:tcW w:w="2977" w:type="dxa"/>
            <w:shd w:val="clear" w:color="auto" w:fill="auto"/>
          </w:tcPr>
          <w:p w14:paraId="58586E69" w14:textId="77777777" w:rsidR="00BE01EF" w:rsidRPr="00682B78" w:rsidRDefault="00BE01EF" w:rsidP="00090880">
            <w:pPr>
              <w:pStyle w:val="ListParagraph"/>
              <w:spacing w:before="100" w:beforeAutospacing="1" w:after="100" w:afterAutospacing="1"/>
              <w:ind w:left="360" w:right="-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53909832" w14:textId="171A68EA" w:rsidR="00DA7E02" w:rsidRPr="00682B78" w:rsidRDefault="00DA7E02" w:rsidP="00DA7E02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60"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Likely worked for an in-house institutional asset owner (eg bank, insurer, pension fund), or an investment consultancy</w:t>
            </w: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7665" w14:textId="77777777" w:rsidR="006B5AA0" w:rsidRDefault="006B5AA0" w:rsidP="004020D9">
      <w:pPr>
        <w:spacing w:after="0" w:line="240" w:lineRule="auto"/>
      </w:pPr>
      <w:r>
        <w:separator/>
      </w:r>
    </w:p>
  </w:endnote>
  <w:endnote w:type="continuationSeparator" w:id="0">
    <w:p w14:paraId="4808335C" w14:textId="77777777" w:rsidR="006B5AA0" w:rsidRDefault="006B5AA0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068EECC3" w:rsidR="00EC5D89" w:rsidRPr="002055D5" w:rsidRDefault="002055D5" w:rsidP="002055D5">
    <w:pPr>
      <w:pStyle w:val="Footer"/>
      <w:jc w:val="center"/>
    </w:pPr>
    <w:fldSimple w:instr=" DOCPROPERTY bjFooterEvenPageDocProperty \* MERGEFORMAT " w:fldLock="1">
      <w:r w:rsidRPr="002055D5">
        <w:rPr>
          <w:rFonts w:ascii="Arial" w:hAnsi="Arial" w:cs="Arial"/>
          <w:color w:val="000000"/>
        </w:rPr>
        <w:t xml:space="preserve">This document is marked </w:t>
      </w:r>
      <w:r w:rsidRPr="002055D5">
        <w:rPr>
          <w:rFonts w:ascii="Arial" w:hAnsi="Arial" w:cs="Arial"/>
          <w:b/>
          <w:color w:val="00B994"/>
        </w:rPr>
        <w:t>MPS Public</w:t>
      </w:r>
      <w:r w:rsidRPr="002055D5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234C1C0C" w:rsidR="00102654" w:rsidRPr="002055D5" w:rsidRDefault="002055D5" w:rsidP="002055D5">
    <w:pPr>
      <w:pStyle w:val="Footer"/>
      <w:jc w:val="center"/>
    </w:pPr>
    <w:fldSimple w:instr=" DOCPROPERTY bjFooterBothDocProperty \* MERGEFORMAT " w:fldLock="1">
      <w:r w:rsidRPr="002055D5">
        <w:rPr>
          <w:rFonts w:ascii="Arial" w:hAnsi="Arial" w:cs="Arial"/>
          <w:color w:val="000000"/>
        </w:rPr>
        <w:t xml:space="preserve">This document is marked </w:t>
      </w:r>
      <w:r w:rsidRPr="002055D5">
        <w:rPr>
          <w:rFonts w:ascii="Arial" w:hAnsi="Arial" w:cs="Arial"/>
          <w:b/>
          <w:color w:val="00B994"/>
        </w:rPr>
        <w:t>MPS Public</w:t>
      </w:r>
      <w:r w:rsidRPr="002055D5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4AC4AD21" w:rsidR="00EC5D89" w:rsidRPr="002055D5" w:rsidRDefault="002055D5" w:rsidP="002055D5">
    <w:pPr>
      <w:pStyle w:val="Footer"/>
      <w:jc w:val="center"/>
    </w:pPr>
    <w:fldSimple w:instr=" DOCPROPERTY bjFooterFirstPageDocProperty \* MERGEFORMAT " w:fldLock="1">
      <w:r w:rsidRPr="002055D5">
        <w:rPr>
          <w:rFonts w:ascii="Arial" w:hAnsi="Arial" w:cs="Arial"/>
          <w:color w:val="000000"/>
        </w:rPr>
        <w:t xml:space="preserve">This document is marked </w:t>
      </w:r>
      <w:r w:rsidRPr="002055D5">
        <w:rPr>
          <w:rFonts w:ascii="Arial" w:hAnsi="Arial" w:cs="Arial"/>
          <w:b/>
          <w:color w:val="00B994"/>
        </w:rPr>
        <w:t>MPS Public</w:t>
      </w:r>
      <w:r w:rsidRPr="002055D5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0121" w14:textId="77777777" w:rsidR="006B5AA0" w:rsidRDefault="006B5AA0" w:rsidP="004020D9">
      <w:pPr>
        <w:spacing w:after="0" w:line="240" w:lineRule="auto"/>
      </w:pPr>
      <w:r>
        <w:separator/>
      </w:r>
    </w:p>
  </w:footnote>
  <w:footnote w:type="continuationSeparator" w:id="0">
    <w:p w14:paraId="2E6756BA" w14:textId="77777777" w:rsidR="006B5AA0" w:rsidRDefault="006B5AA0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C5EB" w14:textId="77777777" w:rsidR="00A27DE1" w:rsidRDefault="00A27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D0BE" w14:textId="77777777" w:rsidR="00A27DE1" w:rsidRDefault="00A2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880"/>
    <w:multiLevelType w:val="hybridMultilevel"/>
    <w:tmpl w:val="E99E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ED1"/>
    <w:multiLevelType w:val="hybridMultilevel"/>
    <w:tmpl w:val="1A68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3B91"/>
    <w:multiLevelType w:val="hybridMultilevel"/>
    <w:tmpl w:val="C19E4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C38F2"/>
    <w:multiLevelType w:val="hybridMultilevel"/>
    <w:tmpl w:val="B034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4DC4868"/>
    <w:multiLevelType w:val="hybridMultilevel"/>
    <w:tmpl w:val="D2D4A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4F8C"/>
    <w:multiLevelType w:val="hybridMultilevel"/>
    <w:tmpl w:val="C638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19C0"/>
    <w:multiLevelType w:val="hybridMultilevel"/>
    <w:tmpl w:val="414A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9E480B"/>
    <w:multiLevelType w:val="hybridMultilevel"/>
    <w:tmpl w:val="0A5E1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723360EA"/>
    <w:multiLevelType w:val="hybridMultilevel"/>
    <w:tmpl w:val="6E92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577B2"/>
    <w:multiLevelType w:val="hybridMultilevel"/>
    <w:tmpl w:val="4E28B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371234">
    <w:abstractNumId w:val="23"/>
  </w:num>
  <w:num w:numId="2" w16cid:durableId="1558474944">
    <w:abstractNumId w:val="2"/>
  </w:num>
  <w:num w:numId="3" w16cid:durableId="2034382179">
    <w:abstractNumId w:val="15"/>
  </w:num>
  <w:num w:numId="4" w16cid:durableId="2064064650">
    <w:abstractNumId w:val="11"/>
  </w:num>
  <w:num w:numId="5" w16cid:durableId="1214972326">
    <w:abstractNumId w:val="7"/>
  </w:num>
  <w:num w:numId="6" w16cid:durableId="1851288215">
    <w:abstractNumId w:val="27"/>
  </w:num>
  <w:num w:numId="7" w16cid:durableId="1068261711">
    <w:abstractNumId w:val="21"/>
  </w:num>
  <w:num w:numId="8" w16cid:durableId="655305644">
    <w:abstractNumId w:val="5"/>
  </w:num>
  <w:num w:numId="9" w16cid:durableId="407076630">
    <w:abstractNumId w:val="12"/>
  </w:num>
  <w:num w:numId="10" w16cid:durableId="714041377">
    <w:abstractNumId w:val="10"/>
  </w:num>
  <w:num w:numId="11" w16cid:durableId="1411082662">
    <w:abstractNumId w:val="18"/>
  </w:num>
  <w:num w:numId="12" w16cid:durableId="426468710">
    <w:abstractNumId w:val="14"/>
  </w:num>
  <w:num w:numId="13" w16cid:durableId="965700546">
    <w:abstractNumId w:val="17"/>
  </w:num>
  <w:num w:numId="14" w16cid:durableId="748966327">
    <w:abstractNumId w:val="3"/>
  </w:num>
  <w:num w:numId="15" w16cid:durableId="443040229">
    <w:abstractNumId w:val="16"/>
  </w:num>
  <w:num w:numId="16" w16cid:durableId="833961144">
    <w:abstractNumId w:val="24"/>
  </w:num>
  <w:num w:numId="17" w16cid:durableId="1496262608">
    <w:abstractNumId w:val="8"/>
  </w:num>
  <w:num w:numId="18" w16cid:durableId="828717484">
    <w:abstractNumId w:val="13"/>
  </w:num>
  <w:num w:numId="19" w16cid:durableId="765417438">
    <w:abstractNumId w:val="0"/>
  </w:num>
  <w:num w:numId="20" w16cid:durableId="1168447442">
    <w:abstractNumId w:val="26"/>
  </w:num>
  <w:num w:numId="21" w16cid:durableId="1985816551">
    <w:abstractNumId w:val="20"/>
  </w:num>
  <w:num w:numId="22" w16cid:durableId="1128282865">
    <w:abstractNumId w:val="25"/>
  </w:num>
  <w:num w:numId="23" w16cid:durableId="555825695">
    <w:abstractNumId w:val="6"/>
  </w:num>
  <w:num w:numId="24" w16cid:durableId="219249019">
    <w:abstractNumId w:val="19"/>
  </w:num>
  <w:num w:numId="25" w16cid:durableId="1253514575">
    <w:abstractNumId w:val="22"/>
  </w:num>
  <w:num w:numId="26" w16cid:durableId="425201134">
    <w:abstractNumId w:val="28"/>
  </w:num>
  <w:num w:numId="27" w16cid:durableId="1557739239">
    <w:abstractNumId w:val="9"/>
  </w:num>
  <w:num w:numId="28" w16cid:durableId="1132551491">
    <w:abstractNumId w:val="4"/>
  </w:num>
  <w:num w:numId="29" w16cid:durableId="278804126">
    <w:abstractNumId w:val="1"/>
  </w:num>
  <w:num w:numId="30" w16cid:durableId="2096975984">
    <w:abstractNumId w:val="12"/>
  </w:num>
  <w:num w:numId="31" w16cid:durableId="1636982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13575"/>
    <w:rsid w:val="00044EDF"/>
    <w:rsid w:val="00075A6F"/>
    <w:rsid w:val="000774BB"/>
    <w:rsid w:val="00090880"/>
    <w:rsid w:val="00091886"/>
    <w:rsid w:val="000D3C64"/>
    <w:rsid w:val="000E0DE1"/>
    <w:rsid w:val="000F63B0"/>
    <w:rsid w:val="00102654"/>
    <w:rsid w:val="00113453"/>
    <w:rsid w:val="00171420"/>
    <w:rsid w:val="001723DE"/>
    <w:rsid w:val="0018266D"/>
    <w:rsid w:val="001B1537"/>
    <w:rsid w:val="001C240A"/>
    <w:rsid w:val="001F0F97"/>
    <w:rsid w:val="00200C9B"/>
    <w:rsid w:val="002055D5"/>
    <w:rsid w:val="00265A71"/>
    <w:rsid w:val="0027215D"/>
    <w:rsid w:val="0028694C"/>
    <w:rsid w:val="002A5B85"/>
    <w:rsid w:val="002B663A"/>
    <w:rsid w:val="002C2C1E"/>
    <w:rsid w:val="002D360F"/>
    <w:rsid w:val="002E5A17"/>
    <w:rsid w:val="002F0092"/>
    <w:rsid w:val="00300A0D"/>
    <w:rsid w:val="00300F69"/>
    <w:rsid w:val="003108AF"/>
    <w:rsid w:val="003209E9"/>
    <w:rsid w:val="003463A2"/>
    <w:rsid w:val="00380C0C"/>
    <w:rsid w:val="0038608E"/>
    <w:rsid w:val="003C44E0"/>
    <w:rsid w:val="003D2019"/>
    <w:rsid w:val="003E4F01"/>
    <w:rsid w:val="004020D9"/>
    <w:rsid w:val="00427446"/>
    <w:rsid w:val="0045747C"/>
    <w:rsid w:val="00471C8C"/>
    <w:rsid w:val="00483FDE"/>
    <w:rsid w:val="004A0E83"/>
    <w:rsid w:val="004C0D9A"/>
    <w:rsid w:val="004C3112"/>
    <w:rsid w:val="004D1A70"/>
    <w:rsid w:val="004D2290"/>
    <w:rsid w:val="004F3CC3"/>
    <w:rsid w:val="00523F72"/>
    <w:rsid w:val="0053182A"/>
    <w:rsid w:val="00542102"/>
    <w:rsid w:val="005439B1"/>
    <w:rsid w:val="00562802"/>
    <w:rsid w:val="00566CEC"/>
    <w:rsid w:val="00567936"/>
    <w:rsid w:val="005722FF"/>
    <w:rsid w:val="00593738"/>
    <w:rsid w:val="00594519"/>
    <w:rsid w:val="005C5EED"/>
    <w:rsid w:val="005E70A7"/>
    <w:rsid w:val="005F3ACA"/>
    <w:rsid w:val="0060182F"/>
    <w:rsid w:val="00611FCC"/>
    <w:rsid w:val="00612098"/>
    <w:rsid w:val="006178FD"/>
    <w:rsid w:val="00621FE2"/>
    <w:rsid w:val="00626F11"/>
    <w:rsid w:val="00633193"/>
    <w:rsid w:val="00653063"/>
    <w:rsid w:val="006538AA"/>
    <w:rsid w:val="00662FF0"/>
    <w:rsid w:val="00682B78"/>
    <w:rsid w:val="00693558"/>
    <w:rsid w:val="0069703D"/>
    <w:rsid w:val="006A3B11"/>
    <w:rsid w:val="006A5A55"/>
    <w:rsid w:val="006B5AA0"/>
    <w:rsid w:val="006D43AE"/>
    <w:rsid w:val="00714053"/>
    <w:rsid w:val="00716235"/>
    <w:rsid w:val="007511E9"/>
    <w:rsid w:val="00754788"/>
    <w:rsid w:val="00754E29"/>
    <w:rsid w:val="00761467"/>
    <w:rsid w:val="00774D49"/>
    <w:rsid w:val="00775950"/>
    <w:rsid w:val="007956A8"/>
    <w:rsid w:val="007D6805"/>
    <w:rsid w:val="007E09F9"/>
    <w:rsid w:val="008071CE"/>
    <w:rsid w:val="00811E4F"/>
    <w:rsid w:val="00814529"/>
    <w:rsid w:val="00821EED"/>
    <w:rsid w:val="008329CB"/>
    <w:rsid w:val="00861A9C"/>
    <w:rsid w:val="00865D1F"/>
    <w:rsid w:val="00870CB8"/>
    <w:rsid w:val="0087665A"/>
    <w:rsid w:val="00884BDF"/>
    <w:rsid w:val="008C4E27"/>
    <w:rsid w:val="008D11F5"/>
    <w:rsid w:val="008D1E4B"/>
    <w:rsid w:val="008E2BCD"/>
    <w:rsid w:val="009009F6"/>
    <w:rsid w:val="00901DF4"/>
    <w:rsid w:val="009153C2"/>
    <w:rsid w:val="0092645D"/>
    <w:rsid w:val="009420E3"/>
    <w:rsid w:val="009A2771"/>
    <w:rsid w:val="009D2504"/>
    <w:rsid w:val="009E0E2B"/>
    <w:rsid w:val="009E5D54"/>
    <w:rsid w:val="00A27DE1"/>
    <w:rsid w:val="00A32E1C"/>
    <w:rsid w:val="00A70AFA"/>
    <w:rsid w:val="00AC399D"/>
    <w:rsid w:val="00B3233D"/>
    <w:rsid w:val="00B3418A"/>
    <w:rsid w:val="00B60FF7"/>
    <w:rsid w:val="00B963D8"/>
    <w:rsid w:val="00B96C1D"/>
    <w:rsid w:val="00BE01EF"/>
    <w:rsid w:val="00BE025F"/>
    <w:rsid w:val="00BF15A7"/>
    <w:rsid w:val="00C11D75"/>
    <w:rsid w:val="00CB3553"/>
    <w:rsid w:val="00CC2558"/>
    <w:rsid w:val="00CF0913"/>
    <w:rsid w:val="00CF3749"/>
    <w:rsid w:val="00D005AD"/>
    <w:rsid w:val="00D13044"/>
    <w:rsid w:val="00D471F8"/>
    <w:rsid w:val="00D5552A"/>
    <w:rsid w:val="00D7541A"/>
    <w:rsid w:val="00D919D0"/>
    <w:rsid w:val="00DA7E02"/>
    <w:rsid w:val="00DE2196"/>
    <w:rsid w:val="00DF5330"/>
    <w:rsid w:val="00E01685"/>
    <w:rsid w:val="00E149C1"/>
    <w:rsid w:val="00E32569"/>
    <w:rsid w:val="00E454B1"/>
    <w:rsid w:val="00E46AD8"/>
    <w:rsid w:val="00E47286"/>
    <w:rsid w:val="00E6048B"/>
    <w:rsid w:val="00E7462C"/>
    <w:rsid w:val="00E82F80"/>
    <w:rsid w:val="00EC5D89"/>
    <w:rsid w:val="00EE4599"/>
    <w:rsid w:val="00EF3604"/>
    <w:rsid w:val="00F00BBA"/>
    <w:rsid w:val="00F130B4"/>
    <w:rsid w:val="00F60980"/>
    <w:rsid w:val="00F8142A"/>
    <w:rsid w:val="00F94728"/>
    <w:rsid w:val="00FA2256"/>
    <w:rsid w:val="00FA5620"/>
    <w:rsid w:val="00FD4182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2A5B85"/>
    <w:rsid w:val="00306B72"/>
    <w:rsid w:val="004B22D4"/>
    <w:rsid w:val="00845961"/>
    <w:rsid w:val="0087665A"/>
    <w:rsid w:val="009C1F80"/>
    <w:rsid w:val="009E5D54"/>
    <w:rsid w:val="00B3233D"/>
    <w:rsid w:val="00CF0913"/>
    <w:rsid w:val="00DE2196"/>
    <w:rsid w:val="00E1447A"/>
    <w:rsid w:val="00E149C1"/>
    <w:rsid w:val="00E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487F52A0-C6F1-4339-956E-A6019A1361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Mark Longfellow</cp:lastModifiedBy>
  <cp:revision>4</cp:revision>
  <cp:lastPrinted>2025-03-03T16:28:00Z</cp:lastPrinted>
  <dcterms:created xsi:type="dcterms:W3CDTF">2025-06-02T13:29:00Z</dcterms:created>
  <dcterms:modified xsi:type="dcterms:W3CDTF">2025-06-06T16:21:00Z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