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541C93" w14:paraId="412EDA2A" w14:textId="77777777" w:rsidTr="764F3836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1B086FB6" w14:textId="77777777" w:rsidR="00F5319A" w:rsidRPr="00541C93" w:rsidRDefault="00F5319A" w:rsidP="00B75089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2DB24C72" w14:textId="0F0A585B" w:rsidR="00F5319A" w:rsidRPr="00541C93" w:rsidRDefault="2693756B" w:rsidP="009D08BA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bookmarkStart w:id="0" w:name="_Hlk136531469"/>
            <w:r w:rsidRPr="00541C93">
              <w:rPr>
                <w:rFonts w:ascii="Arial" w:hAnsi="Arial" w:cs="Arial"/>
                <w:sz w:val="20"/>
                <w:szCs w:val="20"/>
              </w:rPr>
              <w:t xml:space="preserve">Portfolio </w:t>
            </w:r>
            <w:r w:rsidR="064D5DCD" w:rsidRPr="00541C93">
              <w:rPr>
                <w:rFonts w:ascii="Arial" w:hAnsi="Arial" w:cs="Arial"/>
                <w:sz w:val="20"/>
                <w:szCs w:val="20"/>
              </w:rPr>
              <w:t xml:space="preserve">Commercial </w:t>
            </w:r>
            <w:r w:rsidR="2BD7B770" w:rsidRPr="00541C93">
              <w:rPr>
                <w:rFonts w:ascii="Arial" w:hAnsi="Arial" w:cs="Arial"/>
                <w:sz w:val="20"/>
                <w:szCs w:val="20"/>
              </w:rPr>
              <w:t>Manager</w:t>
            </w:r>
            <w:bookmarkEnd w:id="0"/>
          </w:p>
        </w:tc>
        <w:tc>
          <w:tcPr>
            <w:tcW w:w="1984" w:type="dxa"/>
            <w:shd w:val="clear" w:color="auto" w:fill="D9D9D9" w:themeFill="background1" w:themeFillShade="D9"/>
          </w:tcPr>
          <w:p w14:paraId="2C2B7527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1A3A1470" w14:textId="55145F2A" w:rsidR="00F5319A" w:rsidRPr="00541C93" w:rsidRDefault="00FE0F3D" w:rsidP="008A357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Strategic </w:t>
            </w:r>
            <w:r w:rsidR="00316E60" w:rsidRPr="00541C93">
              <w:rPr>
                <w:rFonts w:ascii="Arial" w:hAnsi="Arial" w:cs="Arial"/>
                <w:sz w:val="20"/>
                <w:szCs w:val="20"/>
              </w:rPr>
              <w:t xml:space="preserve">Portfolio Management Office Lead </w:t>
            </w:r>
          </w:p>
        </w:tc>
      </w:tr>
      <w:tr w:rsidR="008F48E1" w:rsidRPr="00541C93" w14:paraId="73EB6492" w14:textId="77777777" w:rsidTr="764F3836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3D74500E" w14:textId="77777777" w:rsidR="008F48E1" w:rsidRPr="00541C93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322FF7E9" w14:textId="463F4A07" w:rsidR="008F48E1" w:rsidRPr="00541C93" w:rsidRDefault="1D1D9234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Member Experience, Digital and Data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54682C7" w14:textId="77777777" w:rsidR="008F48E1" w:rsidRPr="00541C93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Department:</w:t>
            </w:r>
          </w:p>
        </w:tc>
        <w:tc>
          <w:tcPr>
            <w:tcW w:w="3260" w:type="dxa"/>
          </w:tcPr>
          <w:p w14:paraId="2D140408" w14:textId="7560DB30" w:rsidR="008F48E1" w:rsidRPr="00541C93" w:rsidRDefault="1DA53773" w:rsidP="008F48E1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Portfolio </w:t>
            </w:r>
          </w:p>
        </w:tc>
      </w:tr>
      <w:tr w:rsidR="008F48E1" w:rsidRPr="00541C93" w14:paraId="1AE6E0E0" w14:textId="77777777" w:rsidTr="764F3836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287E21B0" w14:textId="77777777" w:rsidR="008F48E1" w:rsidRPr="00541C93" w:rsidRDefault="008F48E1" w:rsidP="008F48E1">
            <w:pPr>
              <w:pStyle w:val="Header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0C54BF5" w14:textId="73CBA6D2" w:rsidR="0E300E28" w:rsidRPr="00541C93" w:rsidRDefault="008F70FE" w:rsidP="2CEF58DF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As role expands it is likely to support commercial team members</w:t>
            </w:r>
          </w:p>
          <w:p w14:paraId="09EC5846" w14:textId="1DBEADF4" w:rsidR="764F3836" w:rsidRPr="00541C93" w:rsidRDefault="764F3836" w:rsidP="764F3836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147B33" w14:textId="497F2704" w:rsidR="764F3836" w:rsidRPr="00541C93" w:rsidRDefault="764F3836" w:rsidP="764F3836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AAAB7A" w14:textId="2016E5D6" w:rsidR="008F48E1" w:rsidRPr="00541C93" w:rsidRDefault="1EE723B3" w:rsidP="2CEF58DF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Interface to </w:t>
            </w:r>
            <w:r w:rsidR="0060278E" w:rsidRPr="00541C93">
              <w:rPr>
                <w:rFonts w:ascii="Arial" w:hAnsi="Arial" w:cs="Arial"/>
                <w:sz w:val="20"/>
                <w:szCs w:val="20"/>
              </w:rPr>
              <w:t>F</w:t>
            </w:r>
            <w:r w:rsidRPr="00541C93">
              <w:rPr>
                <w:rFonts w:ascii="Arial" w:hAnsi="Arial" w:cs="Arial"/>
                <w:sz w:val="20"/>
                <w:szCs w:val="20"/>
              </w:rPr>
              <w:t>inance B</w:t>
            </w:r>
            <w:r w:rsidR="00FF67B0">
              <w:rPr>
                <w:rFonts w:ascii="Arial" w:hAnsi="Arial" w:cs="Arial"/>
                <w:sz w:val="20"/>
                <w:szCs w:val="20"/>
              </w:rPr>
              <w:t xml:space="preserve">usiness </w:t>
            </w:r>
            <w:r w:rsidRPr="00541C93">
              <w:rPr>
                <w:rFonts w:ascii="Arial" w:hAnsi="Arial" w:cs="Arial"/>
                <w:sz w:val="20"/>
                <w:szCs w:val="20"/>
              </w:rPr>
              <w:t>P</w:t>
            </w:r>
            <w:r w:rsidR="00FF67B0">
              <w:rPr>
                <w:rFonts w:ascii="Arial" w:hAnsi="Arial" w:cs="Arial"/>
                <w:sz w:val="20"/>
                <w:szCs w:val="20"/>
              </w:rPr>
              <w:t>artner</w:t>
            </w:r>
            <w:r w:rsidR="00F26750" w:rsidRPr="00541C9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F67B0">
              <w:rPr>
                <w:rFonts w:ascii="Arial" w:hAnsi="Arial" w:cs="Arial"/>
                <w:sz w:val="20"/>
                <w:szCs w:val="20"/>
              </w:rPr>
              <w:t xml:space="preserve">Senior Procurement Category Manager (IT) </w:t>
            </w:r>
          </w:p>
          <w:p w14:paraId="344030D0" w14:textId="5FD7873A" w:rsidR="008F48E1" w:rsidRPr="00541C93" w:rsidRDefault="008F48E1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15C4AD" w14:textId="2F3E4977" w:rsidR="009B3C71" w:rsidRPr="00541C93" w:rsidRDefault="009B3C71" w:rsidP="008F48E1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226C569" w14:textId="77777777" w:rsidR="008F48E1" w:rsidRPr="00541C93" w:rsidRDefault="008F48E1" w:rsidP="008F48E1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514338CD" w14:textId="68A3C32A" w:rsidR="008F48E1" w:rsidRPr="00541C93" w:rsidRDefault="0060278E" w:rsidP="00E40940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MEDD</w:t>
            </w:r>
            <w:r w:rsidR="00316E60" w:rsidRPr="00541C93">
              <w:rPr>
                <w:rFonts w:ascii="Arial" w:hAnsi="Arial" w:cs="Arial"/>
                <w:sz w:val="20"/>
                <w:szCs w:val="20"/>
              </w:rPr>
              <w:t xml:space="preserve"> Portfolio </w:t>
            </w:r>
          </w:p>
        </w:tc>
      </w:tr>
      <w:tr w:rsidR="00F5319A" w:rsidRPr="00541C93" w14:paraId="5778F9A8" w14:textId="77777777" w:rsidTr="764F3836">
        <w:trPr>
          <w:trHeight w:val="350"/>
        </w:trPr>
        <w:tc>
          <w:tcPr>
            <w:tcW w:w="2127" w:type="dxa"/>
            <w:vMerge/>
          </w:tcPr>
          <w:p w14:paraId="264DA108" w14:textId="77777777" w:rsidR="00F5319A" w:rsidRPr="00541C93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0B277777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41ED59E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521A5698" w14:textId="52E728AE" w:rsidR="00AD1338" w:rsidRPr="00541C93" w:rsidRDefault="52B57EBE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Global </w:t>
            </w:r>
          </w:p>
        </w:tc>
      </w:tr>
      <w:tr w:rsidR="00F5319A" w:rsidRPr="00541C93" w14:paraId="6D1241AD" w14:textId="77777777" w:rsidTr="764F3836">
        <w:trPr>
          <w:trHeight w:val="381"/>
        </w:trPr>
        <w:tc>
          <w:tcPr>
            <w:tcW w:w="2127" w:type="dxa"/>
            <w:vMerge/>
          </w:tcPr>
          <w:p w14:paraId="570E8636" w14:textId="77777777" w:rsidR="00F5319A" w:rsidRPr="00541C93" w:rsidRDefault="00F5319A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33F99D6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9FD86E1" w14:textId="77777777" w:rsidR="00F5319A" w:rsidRPr="00541C93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541C93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2E2C1AF0" w14:textId="77777777" w:rsidR="00F5319A" w:rsidRPr="00541C93" w:rsidRDefault="00F5319A" w:rsidP="00B75089">
            <w:pPr>
              <w:pStyle w:val="Header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41C93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541C93" w14:paraId="6D54DC0F" w14:textId="77777777" w:rsidTr="764F3836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706E778A" w14:textId="77777777" w:rsidR="007E7CA1" w:rsidRPr="00541C93" w:rsidRDefault="007E7CA1" w:rsidP="00B75089">
            <w:pPr>
              <w:pStyle w:val="Header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58ECE656" w14:textId="74D491FD" w:rsidR="007E7CA1" w:rsidRPr="00541C93" w:rsidRDefault="00316E60" w:rsidP="00B75089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Implement 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34D5F2A" w14:textId="77777777" w:rsidR="007E7CA1" w:rsidRPr="00541C93" w:rsidRDefault="007E7CA1" w:rsidP="00B75089">
            <w:pPr>
              <w:pStyle w:val="Header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1A4893A5" w14:textId="07AD1C35" w:rsidR="007E7CA1" w:rsidRPr="00541C93" w:rsidRDefault="00316E60" w:rsidP="00B75089">
            <w:pPr>
              <w:pStyle w:val="Header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1C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Digital, Data and Change </w:t>
            </w:r>
            <w:r w:rsidR="008F48E1" w:rsidRPr="00541C9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6B8B1159" w14:textId="77777777" w:rsidR="00F5319A" w:rsidRPr="00541C93" w:rsidRDefault="00F5319A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541C93" w14:paraId="7305768F" w14:textId="77777777" w:rsidTr="764F3836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512584BC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61EE73" w14:textId="2DD08216" w:rsidR="009E22D0" w:rsidRPr="00541C93" w:rsidRDefault="08FABDD6" w:rsidP="2CEF58DF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541C93">
              <w:rPr>
                <w:rFonts w:ascii="Arial" w:hAnsi="Arial" w:cs="Arial"/>
                <w:b/>
                <w:bCs/>
                <w:sz w:val="20"/>
                <w:szCs w:val="20"/>
              </w:rPr>
              <w:t>Overall</w:t>
            </w:r>
            <w:proofErr w:type="gramEnd"/>
            <w:r w:rsidR="14F57EE7" w:rsidRPr="00541C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A8E1BAA" w:rsidRPr="00541C93">
              <w:rPr>
                <w:rFonts w:ascii="Arial" w:hAnsi="Arial" w:cs="Arial"/>
                <w:b/>
                <w:bCs/>
                <w:sz w:val="20"/>
                <w:szCs w:val="20"/>
              </w:rPr>
              <w:t>Role Purpose</w:t>
            </w:r>
          </w:p>
        </w:tc>
      </w:tr>
      <w:tr w:rsidR="009E22D0" w:rsidRPr="00541C93" w14:paraId="46D53C94" w14:textId="77777777" w:rsidTr="00541C93">
        <w:trPr>
          <w:trHeight w:val="1781"/>
        </w:trPr>
        <w:tc>
          <w:tcPr>
            <w:tcW w:w="10509" w:type="dxa"/>
          </w:tcPr>
          <w:p w14:paraId="2546B2E7" w14:textId="77777777" w:rsidR="00541C93" w:rsidRPr="00541C93" w:rsidRDefault="00541C93" w:rsidP="00252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77C965" w14:textId="297C061B" w:rsidR="00541C93" w:rsidRPr="00541C93" w:rsidRDefault="00541C93" w:rsidP="00541C9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Reporting to the Strategic PMO Lead, in partnership with the finance and procurement leads and associated </w:t>
            </w:r>
            <w:r w:rsidR="00792C8D">
              <w:rPr>
                <w:rFonts w:ascii="Arial" w:hAnsi="Arial" w:cs="Arial"/>
                <w:iCs/>
                <w:sz w:val="20"/>
                <w:szCs w:val="20"/>
              </w:rPr>
              <w:t xml:space="preserve">MEDD stakeholders and 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>processes</w:t>
            </w:r>
            <w:r w:rsidR="00FF67B0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 be</w:t>
            </w:r>
            <w:r w:rsidR="00FF67B0">
              <w:rPr>
                <w:rFonts w:ascii="Arial" w:hAnsi="Arial" w:cs="Arial"/>
                <w:iCs/>
                <w:sz w:val="20"/>
                <w:szCs w:val="20"/>
              </w:rPr>
              <w:t>ing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 accountable for the development and management of the Portfolio commercial and financial plan. </w:t>
            </w:r>
          </w:p>
          <w:p w14:paraId="496E5320" w14:textId="77777777" w:rsidR="00541C93" w:rsidRPr="00541C93" w:rsidRDefault="00541C93" w:rsidP="002522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E0E414" w14:textId="1602F89A" w:rsidR="00CB2F3C" w:rsidRPr="00541C93" w:rsidRDefault="00541C93" w:rsidP="0025222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>In addition,</w:t>
            </w:r>
            <w:r w:rsidR="00252222" w:rsidRPr="00541C93">
              <w:rPr>
                <w:rFonts w:ascii="Arial" w:hAnsi="Arial" w:cs="Arial"/>
                <w:iCs/>
                <w:sz w:val="20"/>
                <w:szCs w:val="20"/>
              </w:rPr>
              <w:t xml:space="preserve"> develop robust controls and processes across the MEDD function in relation to spend management, budgetary control, performance</w:t>
            </w:r>
            <w:r w:rsidR="00CB2F3C" w:rsidRPr="00541C93">
              <w:rPr>
                <w:rFonts w:ascii="Arial" w:hAnsi="Arial" w:cs="Arial"/>
                <w:iCs/>
                <w:sz w:val="20"/>
                <w:szCs w:val="20"/>
              </w:rPr>
              <w:t xml:space="preserve"> in line with the procurement and </w:t>
            </w:r>
            <w:r w:rsidR="00FF67B0">
              <w:rPr>
                <w:rFonts w:ascii="Arial" w:hAnsi="Arial" w:cs="Arial"/>
                <w:iCs/>
                <w:sz w:val="20"/>
                <w:szCs w:val="20"/>
              </w:rPr>
              <w:t>l</w:t>
            </w:r>
            <w:r w:rsidR="00CB2F3C" w:rsidRPr="00541C93">
              <w:rPr>
                <w:rFonts w:ascii="Arial" w:hAnsi="Arial" w:cs="Arial"/>
                <w:iCs/>
                <w:sz w:val="20"/>
                <w:szCs w:val="20"/>
              </w:rPr>
              <w:t xml:space="preserve">egal frameworks. </w:t>
            </w:r>
          </w:p>
          <w:p w14:paraId="6332AD0E" w14:textId="77777777" w:rsidR="00CB2F3C" w:rsidRPr="00541C93" w:rsidRDefault="00CB2F3C" w:rsidP="00252222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2DA96B9" w14:textId="601E3EF6" w:rsidR="003419D1" w:rsidRPr="00541C93" w:rsidRDefault="003419D1" w:rsidP="00541C93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D81DFE4" w14:textId="77777777" w:rsidR="009E22D0" w:rsidRPr="00541C93" w:rsidRDefault="009E22D0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541C93" w14:paraId="46CEC61E" w14:textId="77777777" w:rsidTr="764F3836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7A771DC5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BDF6CB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541C93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541C93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00B196B4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F1969" w14:textId="77777777" w:rsidR="009E22D0" w:rsidRPr="00541C93" w:rsidRDefault="009E22D0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AAE9674" w14:textId="77777777" w:rsidR="00850672" w:rsidRPr="00541C93" w:rsidRDefault="00850672" w:rsidP="00850672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541C93" w14:paraId="07FD2815" w14:textId="77777777" w:rsidTr="764F3836">
        <w:trPr>
          <w:trHeight w:val="578"/>
        </w:trPr>
        <w:tc>
          <w:tcPr>
            <w:tcW w:w="6346" w:type="dxa"/>
          </w:tcPr>
          <w:p w14:paraId="05934EE9" w14:textId="77777777" w:rsidR="0056188D" w:rsidRPr="00541C93" w:rsidRDefault="0056188D" w:rsidP="00E154EF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541C9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  <w:r w:rsidR="00850672" w:rsidRPr="00541C93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:</w:t>
            </w:r>
          </w:p>
          <w:p w14:paraId="6058CA4D" w14:textId="7582A80C" w:rsidR="00E7725E" w:rsidRPr="00541C93" w:rsidRDefault="00E7725E" w:rsidP="00E7725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>Supporting and providing input to the MEDD business cycles for planning, implementation and reviews working to optimise performance at every opportunity.</w:t>
            </w:r>
          </w:p>
          <w:p w14:paraId="62B05230" w14:textId="0B07E7AB" w:rsidR="00E40940" w:rsidRPr="00541C93" w:rsidRDefault="00E40940" w:rsidP="00E7725E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Develop and maintain the MEDD </w:t>
            </w:r>
            <w:r w:rsidR="00FF67B0">
              <w:rPr>
                <w:rFonts w:ascii="Arial" w:hAnsi="Arial" w:cs="Arial"/>
                <w:iCs/>
                <w:sz w:val="20"/>
                <w:szCs w:val="20"/>
              </w:rPr>
              <w:t>S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ourcing Approval Board and own the process and </w:t>
            </w:r>
            <w:r w:rsidR="00541C93" w:rsidRPr="00541C93">
              <w:rPr>
                <w:rFonts w:ascii="Arial" w:hAnsi="Arial" w:cs="Arial"/>
                <w:iCs/>
                <w:sz w:val="20"/>
                <w:szCs w:val="20"/>
              </w:rPr>
              <w:t>artifacts</w:t>
            </w:r>
            <w:r w:rsidR="00792C8D">
              <w:rPr>
                <w:rFonts w:ascii="Arial" w:hAnsi="Arial" w:cs="Arial"/>
                <w:iCs/>
                <w:sz w:val="20"/>
                <w:szCs w:val="20"/>
              </w:rPr>
              <w:t xml:space="preserve"> to support effective input to the procurement and legal review processes</w:t>
            </w:r>
            <w:r w:rsidR="00541C93" w:rsidRPr="00541C93">
              <w:rPr>
                <w:rFonts w:ascii="Arial" w:hAnsi="Arial" w:cs="Arial"/>
                <w:iCs/>
                <w:sz w:val="20"/>
                <w:szCs w:val="20"/>
              </w:rPr>
              <w:t>.</w:t>
            </w:r>
            <w:r w:rsidR="00947A16" w:rsidRPr="00541C9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06776A6B" w14:textId="54AF6F03" w:rsidR="00060750" w:rsidRPr="00541C93" w:rsidRDefault="00792C8D" w:rsidP="00E7725E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Support </w:t>
            </w:r>
            <w:r w:rsidR="00CB2F3C" w:rsidRPr="00541C93">
              <w:rPr>
                <w:rFonts w:ascii="Arial" w:hAnsi="Arial" w:cs="Arial"/>
                <w:sz w:val="20"/>
                <w:szCs w:val="20"/>
              </w:rPr>
              <w:t xml:space="preserve">with the Vendor </w:t>
            </w:r>
            <w:r w:rsidR="00FF67B0">
              <w:rPr>
                <w:rFonts w:ascii="Arial" w:hAnsi="Arial" w:cs="Arial"/>
                <w:sz w:val="20"/>
                <w:szCs w:val="20"/>
              </w:rPr>
              <w:t>M</w:t>
            </w:r>
            <w:r w:rsidR="00CB2F3C" w:rsidRPr="00541C93">
              <w:rPr>
                <w:rFonts w:ascii="Arial" w:hAnsi="Arial" w:cs="Arial"/>
                <w:sz w:val="20"/>
                <w:szCs w:val="20"/>
              </w:rPr>
              <w:t xml:space="preserve">anagement </w:t>
            </w:r>
            <w:r w:rsidR="00FF67B0">
              <w:rPr>
                <w:rFonts w:ascii="Arial" w:hAnsi="Arial" w:cs="Arial"/>
                <w:sz w:val="20"/>
                <w:szCs w:val="20"/>
              </w:rPr>
              <w:t>F</w:t>
            </w:r>
            <w:r w:rsidR="00CB2F3C" w:rsidRPr="00541C93">
              <w:rPr>
                <w:rFonts w:ascii="Arial" w:hAnsi="Arial" w:cs="Arial"/>
                <w:sz w:val="20"/>
                <w:szCs w:val="20"/>
              </w:rPr>
              <w:t xml:space="preserve">ramework </w:t>
            </w:r>
            <w:r w:rsidR="00FF67B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CB2F3C" w:rsidRPr="00541C93">
              <w:rPr>
                <w:rFonts w:ascii="Arial" w:hAnsi="Arial" w:cs="Arial"/>
                <w:sz w:val="20"/>
                <w:szCs w:val="20"/>
              </w:rPr>
              <w:t>l</w:t>
            </w:r>
            <w:r w:rsidR="6EF4D936" w:rsidRPr="00541C93">
              <w:rPr>
                <w:rFonts w:ascii="Arial" w:hAnsi="Arial" w:cs="Arial"/>
                <w:sz w:val="20"/>
                <w:szCs w:val="20"/>
              </w:rPr>
              <w:t xml:space="preserve">everage the capabilities of third parties </w:t>
            </w:r>
            <w:r w:rsidR="5ADF510C" w:rsidRPr="00541C93">
              <w:rPr>
                <w:rFonts w:ascii="Arial" w:hAnsi="Arial" w:cs="Arial"/>
                <w:sz w:val="20"/>
                <w:szCs w:val="20"/>
              </w:rPr>
              <w:t xml:space="preserve">across the </w:t>
            </w:r>
            <w:r w:rsidR="008F70FE" w:rsidRPr="00541C93">
              <w:rPr>
                <w:rFonts w:ascii="Arial" w:hAnsi="Arial" w:cs="Arial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sz w:val="20"/>
                <w:szCs w:val="20"/>
              </w:rPr>
              <w:t xml:space="preserve"> by inputting feedback from project teams</w:t>
            </w:r>
            <w:r w:rsidR="008F70FE" w:rsidRPr="00541C93">
              <w:rPr>
                <w:rFonts w:ascii="Arial" w:hAnsi="Arial" w:cs="Arial"/>
                <w:sz w:val="20"/>
                <w:szCs w:val="20"/>
              </w:rPr>
              <w:t>.</w:t>
            </w:r>
            <w:r w:rsidR="5ADF510C" w:rsidRPr="00541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0CE6AA" w14:textId="19237955" w:rsidR="00EA3D08" w:rsidRPr="00541C93" w:rsidRDefault="00EA3D08" w:rsidP="00E7725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Develop and implement </w:t>
            </w:r>
            <w:r w:rsidR="00FA45F4" w:rsidRPr="00541C93">
              <w:rPr>
                <w:rFonts w:ascii="Arial" w:hAnsi="Arial" w:cs="Arial"/>
                <w:sz w:val="20"/>
                <w:szCs w:val="20"/>
              </w:rPr>
              <w:t>management data to track and measure performance and identify bottle</w:t>
            </w:r>
            <w:r w:rsidR="00303944" w:rsidRPr="00541C93">
              <w:rPr>
                <w:rFonts w:ascii="Arial" w:hAnsi="Arial" w:cs="Arial"/>
                <w:sz w:val="20"/>
                <w:szCs w:val="20"/>
              </w:rPr>
              <w:t xml:space="preserve">necks in </w:t>
            </w:r>
            <w:r w:rsidR="008F70FE" w:rsidRPr="00541C93">
              <w:rPr>
                <w:rFonts w:ascii="Arial" w:hAnsi="Arial" w:cs="Arial"/>
                <w:sz w:val="20"/>
                <w:szCs w:val="20"/>
              </w:rPr>
              <w:t>process</w:t>
            </w:r>
            <w:r w:rsidR="00792C8D">
              <w:rPr>
                <w:rFonts w:ascii="Arial" w:hAnsi="Arial" w:cs="Arial"/>
                <w:sz w:val="20"/>
                <w:szCs w:val="20"/>
              </w:rPr>
              <w:t xml:space="preserve"> and to assist associated teams with scheduling work from MEDD</w:t>
            </w:r>
            <w:r w:rsidR="008F70FE" w:rsidRPr="00541C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C0820E" w14:textId="6942B49B" w:rsidR="001C33E8" w:rsidRPr="00541C93" w:rsidRDefault="00541C93" w:rsidP="00E7725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Aligning</w:t>
            </w:r>
            <w:r w:rsidR="00CB2F3C" w:rsidRPr="00541C93">
              <w:rPr>
                <w:rFonts w:ascii="Arial" w:hAnsi="Arial" w:cs="Arial"/>
                <w:sz w:val="20"/>
                <w:szCs w:val="20"/>
              </w:rPr>
              <w:t xml:space="preserve"> with the PPP Framework, t</w:t>
            </w:r>
            <w:r w:rsidR="00303944" w:rsidRPr="00541C93">
              <w:rPr>
                <w:rFonts w:ascii="Arial" w:hAnsi="Arial" w:cs="Arial"/>
                <w:sz w:val="20"/>
                <w:szCs w:val="20"/>
              </w:rPr>
              <w:t xml:space="preserve">riage </w:t>
            </w:r>
            <w:r w:rsidR="00D70062">
              <w:rPr>
                <w:rFonts w:ascii="Arial" w:hAnsi="Arial" w:cs="Arial"/>
                <w:sz w:val="20"/>
                <w:szCs w:val="20"/>
              </w:rPr>
              <w:t xml:space="preserve">via Procurement </w:t>
            </w:r>
            <w:r w:rsidR="00303944" w:rsidRPr="00541C93">
              <w:rPr>
                <w:rFonts w:ascii="Arial" w:hAnsi="Arial" w:cs="Arial"/>
                <w:sz w:val="20"/>
                <w:szCs w:val="20"/>
              </w:rPr>
              <w:t xml:space="preserve">and plan flow of work </w:t>
            </w:r>
            <w:r w:rsidR="00D70062">
              <w:rPr>
                <w:rFonts w:ascii="Arial" w:hAnsi="Arial" w:cs="Arial"/>
                <w:sz w:val="20"/>
                <w:szCs w:val="20"/>
              </w:rPr>
              <w:t>with</w:t>
            </w:r>
            <w:r w:rsidR="00303944" w:rsidRPr="00541C93">
              <w:rPr>
                <w:rFonts w:ascii="Arial" w:hAnsi="Arial" w:cs="Arial"/>
                <w:sz w:val="20"/>
                <w:szCs w:val="20"/>
              </w:rPr>
              <w:t xml:space="preserve"> procurement </w:t>
            </w:r>
            <w:r w:rsidR="00BC2212" w:rsidRPr="00541C93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303944" w:rsidRPr="00541C93">
              <w:rPr>
                <w:rFonts w:ascii="Arial" w:hAnsi="Arial" w:cs="Arial"/>
                <w:sz w:val="20"/>
                <w:szCs w:val="20"/>
              </w:rPr>
              <w:t xml:space="preserve">to ensure a smooth and timely </w:t>
            </w:r>
            <w:r w:rsidR="00171678" w:rsidRPr="00541C93">
              <w:rPr>
                <w:rFonts w:ascii="Arial" w:hAnsi="Arial" w:cs="Arial"/>
                <w:sz w:val="20"/>
                <w:szCs w:val="20"/>
              </w:rPr>
              <w:t xml:space="preserve">outcome </w:t>
            </w:r>
            <w:r w:rsidR="008F70FE" w:rsidRPr="00541C93">
              <w:rPr>
                <w:rFonts w:ascii="Arial" w:hAnsi="Arial" w:cs="Arial"/>
                <w:sz w:val="20"/>
                <w:szCs w:val="20"/>
              </w:rPr>
              <w:t>in line</w:t>
            </w:r>
            <w:r w:rsidR="00171678" w:rsidRPr="00541C93">
              <w:rPr>
                <w:rFonts w:ascii="Arial" w:hAnsi="Arial" w:cs="Arial"/>
                <w:sz w:val="20"/>
                <w:szCs w:val="20"/>
              </w:rPr>
              <w:t xml:space="preserve"> with project </w:t>
            </w:r>
            <w:proofErr w:type="gramStart"/>
            <w:r w:rsidR="00171678" w:rsidRPr="00541C93">
              <w:rPr>
                <w:rFonts w:ascii="Arial" w:hAnsi="Arial" w:cs="Arial"/>
                <w:sz w:val="20"/>
                <w:szCs w:val="20"/>
              </w:rPr>
              <w:t>timelines</w:t>
            </w:r>
            <w:proofErr w:type="gramEnd"/>
            <w:r w:rsidR="00947A16" w:rsidRPr="00541C9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966B8C" w14:textId="3F179B70" w:rsidR="00850672" w:rsidRPr="00541C93" w:rsidRDefault="555D6A0E" w:rsidP="00E7725E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Embed, support and </w:t>
            </w:r>
            <w:r w:rsidR="00D70062"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Pr="00541C93">
              <w:rPr>
                <w:rFonts w:ascii="Arial" w:hAnsi="Arial" w:cs="Arial"/>
                <w:sz w:val="20"/>
                <w:szCs w:val="20"/>
              </w:rPr>
              <w:t>govern</w:t>
            </w:r>
            <w:r w:rsidR="00D70062">
              <w:rPr>
                <w:rFonts w:ascii="Arial" w:hAnsi="Arial" w:cs="Arial"/>
                <w:sz w:val="20"/>
                <w:szCs w:val="20"/>
              </w:rPr>
              <w:t>ance of</w:t>
            </w:r>
            <w:r w:rsidR="1EE470BC" w:rsidRPr="00541C93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EF4D936" w:rsidRPr="00541C93">
              <w:rPr>
                <w:rFonts w:ascii="Arial" w:hAnsi="Arial" w:cs="Arial"/>
                <w:sz w:val="20"/>
                <w:szCs w:val="20"/>
              </w:rPr>
              <w:t xml:space="preserve">Procurement </w:t>
            </w:r>
            <w:r w:rsidR="00D70062">
              <w:rPr>
                <w:rFonts w:ascii="Arial" w:hAnsi="Arial" w:cs="Arial"/>
                <w:sz w:val="20"/>
                <w:szCs w:val="20"/>
              </w:rPr>
              <w:t>t</w:t>
            </w:r>
            <w:r w:rsidR="6EF4D936" w:rsidRPr="00541C93">
              <w:rPr>
                <w:rFonts w:ascii="Arial" w:hAnsi="Arial" w:cs="Arial"/>
                <w:sz w:val="20"/>
                <w:szCs w:val="20"/>
              </w:rPr>
              <w:t xml:space="preserve">eams </w:t>
            </w:r>
            <w:r w:rsidR="204FD2F6" w:rsidRPr="00541C93">
              <w:rPr>
                <w:rFonts w:ascii="Arial" w:hAnsi="Arial" w:cs="Arial"/>
                <w:sz w:val="20"/>
                <w:szCs w:val="20"/>
              </w:rPr>
              <w:t xml:space="preserve">processes and systems to improve working practice </w:t>
            </w:r>
            <w:r w:rsidR="6EF4D936" w:rsidRPr="00541C9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204FD2F6" w:rsidRPr="00541C93">
              <w:rPr>
                <w:rFonts w:ascii="Arial" w:hAnsi="Arial" w:cs="Arial"/>
                <w:sz w:val="20"/>
                <w:szCs w:val="20"/>
              </w:rPr>
              <w:t>provide continuous improvement</w:t>
            </w:r>
            <w:r w:rsidR="00792C8D">
              <w:rPr>
                <w:rFonts w:ascii="Arial" w:hAnsi="Arial" w:cs="Arial"/>
                <w:sz w:val="20"/>
                <w:szCs w:val="20"/>
              </w:rPr>
              <w:t xml:space="preserve"> across the project and operations </w:t>
            </w:r>
            <w:proofErr w:type="gramStart"/>
            <w:r w:rsidR="00792C8D">
              <w:rPr>
                <w:rFonts w:ascii="Arial" w:hAnsi="Arial" w:cs="Arial"/>
                <w:sz w:val="20"/>
                <w:szCs w:val="20"/>
              </w:rPr>
              <w:t>teams</w:t>
            </w:r>
            <w:proofErr w:type="gramEnd"/>
          </w:p>
          <w:p w14:paraId="6E8CD36E" w14:textId="0DBCDC71" w:rsidR="00930195" w:rsidRPr="00541C93" w:rsidRDefault="58777BD7" w:rsidP="00E7725E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Support the onboarding of new vendors and </w:t>
            </w:r>
            <w:r w:rsidR="74D62F16" w:rsidRPr="00541C93">
              <w:rPr>
                <w:rFonts w:ascii="Arial" w:hAnsi="Arial" w:cs="Arial"/>
                <w:sz w:val="20"/>
                <w:szCs w:val="20"/>
              </w:rPr>
              <w:t xml:space="preserve">maintain accurate records of capability and </w:t>
            </w:r>
            <w:r w:rsidR="008F70FE" w:rsidRPr="00541C93">
              <w:rPr>
                <w:rFonts w:ascii="Arial" w:hAnsi="Arial" w:cs="Arial"/>
                <w:sz w:val="20"/>
                <w:szCs w:val="20"/>
              </w:rPr>
              <w:t>spend</w:t>
            </w:r>
            <w:r w:rsidR="00792C8D">
              <w:rPr>
                <w:rFonts w:ascii="Arial" w:hAnsi="Arial" w:cs="Arial"/>
                <w:sz w:val="20"/>
                <w:szCs w:val="20"/>
              </w:rPr>
              <w:t xml:space="preserve"> by providing a single </w:t>
            </w:r>
            <w:r w:rsidR="00792C8D">
              <w:rPr>
                <w:rFonts w:ascii="Arial" w:hAnsi="Arial" w:cs="Arial"/>
                <w:sz w:val="20"/>
                <w:szCs w:val="20"/>
              </w:rPr>
              <w:lastRenderedPageBreak/>
              <w:t>point of contact for legal and procurement</w:t>
            </w:r>
            <w:r w:rsidR="00D70062">
              <w:rPr>
                <w:rFonts w:ascii="Arial" w:hAnsi="Arial" w:cs="Arial"/>
                <w:sz w:val="20"/>
                <w:szCs w:val="20"/>
              </w:rPr>
              <w:t xml:space="preserve"> in line with the MPS Vendor Management Framework</w:t>
            </w:r>
            <w:r w:rsidR="008F70FE" w:rsidRPr="00541C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20881C" w14:textId="07B2FE91" w:rsidR="00CB2F3C" w:rsidRDefault="00CB2F3C" w:rsidP="00541C9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>Provide the internal delivery teams with guidance and compliance oversight to all IT organisational spend</w:t>
            </w:r>
            <w:r w:rsidR="00D70062">
              <w:rPr>
                <w:rFonts w:ascii="Arial" w:hAnsi="Arial" w:cs="Arial"/>
                <w:iCs/>
                <w:sz w:val="20"/>
                <w:szCs w:val="20"/>
              </w:rPr>
              <w:t>,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 including internal resource costs and recharging data.</w:t>
            </w:r>
          </w:p>
          <w:p w14:paraId="7AA2EFA3" w14:textId="0B3C6F1C" w:rsidR="00792C8D" w:rsidRPr="00541C93" w:rsidRDefault="00792C8D" w:rsidP="00541C9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Support MEDD stakeholders with investigation to budget variances and interface to BP’s</w:t>
            </w:r>
          </w:p>
          <w:p w14:paraId="3888829F" w14:textId="76A2A47E" w:rsidR="00316E60" w:rsidRPr="00541C93" w:rsidRDefault="00BC2212" w:rsidP="00E7725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Partner with the </w:t>
            </w:r>
            <w:r w:rsidR="00316E60" w:rsidRPr="00541C93">
              <w:rPr>
                <w:rFonts w:ascii="Arial" w:hAnsi="Arial" w:cs="Arial"/>
                <w:iCs/>
                <w:sz w:val="20"/>
                <w:szCs w:val="20"/>
              </w:rPr>
              <w:t>internal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 project</w:t>
            </w:r>
            <w:r w:rsidR="00316E60" w:rsidRPr="00541C93">
              <w:rPr>
                <w:rFonts w:ascii="Arial" w:hAnsi="Arial" w:cs="Arial"/>
                <w:iCs/>
                <w:sz w:val="20"/>
                <w:szCs w:val="20"/>
              </w:rPr>
              <w:t xml:space="preserve"> delivery teams</w:t>
            </w:r>
            <w:r w:rsidR="00D70062">
              <w:rPr>
                <w:rFonts w:ascii="Arial" w:hAnsi="Arial" w:cs="Arial"/>
                <w:iCs/>
                <w:sz w:val="20"/>
                <w:szCs w:val="20"/>
              </w:rPr>
              <w:t xml:space="preserve"> and </w:t>
            </w:r>
            <w:r w:rsidR="00D70062" w:rsidRPr="00D70062">
              <w:rPr>
                <w:rFonts w:ascii="Arial" w:hAnsi="Arial" w:cs="Arial"/>
                <w:iCs/>
                <w:sz w:val="20"/>
                <w:szCs w:val="20"/>
              </w:rPr>
              <w:t xml:space="preserve">Senior Procurement Category Manager (IT) 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>to provide</w:t>
            </w:r>
            <w:r w:rsidR="00316E60" w:rsidRPr="00541C93">
              <w:rPr>
                <w:rFonts w:ascii="Arial" w:hAnsi="Arial" w:cs="Arial"/>
                <w:iCs/>
                <w:sz w:val="20"/>
                <w:szCs w:val="20"/>
              </w:rPr>
              <w:t xml:space="preserve"> guidance and compliance oversight to all IT spend including internal resource costs and recharging data.</w:t>
            </w:r>
          </w:p>
          <w:p w14:paraId="59CEB329" w14:textId="77777777" w:rsidR="00CB2F3C" w:rsidRPr="00541C93" w:rsidRDefault="00CB2F3C" w:rsidP="00CB2F3C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Lead on Change Control Processes </w:t>
            </w:r>
            <w:r w:rsidRPr="00541C93">
              <w:rPr>
                <w:rStyle w:val="ui-provider"/>
                <w:rFonts w:ascii="Arial" w:hAnsi="Arial" w:cs="Arial"/>
                <w:sz w:val="20"/>
                <w:szCs w:val="20"/>
              </w:rPr>
              <w:t xml:space="preserve">Identification, recording, notification and negotiation of change in accordance with the contract and involving Procurement and Legal in line with </w:t>
            </w:r>
            <w:proofErr w:type="gramStart"/>
            <w:r w:rsidRPr="00541C93">
              <w:rPr>
                <w:rStyle w:val="ui-provider"/>
                <w:rFonts w:ascii="Arial" w:hAnsi="Arial" w:cs="Arial"/>
                <w:sz w:val="20"/>
                <w:szCs w:val="20"/>
              </w:rPr>
              <w:t>Policies</w:t>
            </w:r>
            <w:proofErr w:type="gramEnd"/>
          </w:p>
          <w:p w14:paraId="38B02D82" w14:textId="03E5319E" w:rsidR="00CB2F3C" w:rsidRDefault="00792C8D" w:rsidP="00E7725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Provide the MEDD interface to </w:t>
            </w:r>
            <w:r w:rsidR="00CB2F3C" w:rsidRPr="00541C93">
              <w:rPr>
                <w:rFonts w:ascii="Arial" w:hAnsi="Arial" w:cs="Arial"/>
                <w:iCs/>
                <w:sz w:val="20"/>
                <w:szCs w:val="20"/>
              </w:rPr>
              <w:t xml:space="preserve">RFP Documentation and ensuring all documents are drafted and reviewed by the relevant SMEs across the MEDD </w:t>
            </w:r>
            <w:r w:rsidR="00541C93" w:rsidRPr="00541C93">
              <w:rPr>
                <w:rFonts w:ascii="Arial" w:hAnsi="Arial" w:cs="Arial"/>
                <w:iCs/>
                <w:sz w:val="20"/>
                <w:szCs w:val="20"/>
              </w:rPr>
              <w:t>Division</w:t>
            </w:r>
            <w:r w:rsidR="00CB2F3C" w:rsidRPr="00541C9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D70062">
              <w:rPr>
                <w:rFonts w:ascii="Arial" w:hAnsi="Arial" w:cs="Arial"/>
                <w:iCs/>
                <w:sz w:val="20"/>
                <w:szCs w:val="20"/>
              </w:rPr>
              <w:t xml:space="preserve">and aligned to procurement standards. </w:t>
            </w:r>
          </w:p>
          <w:p w14:paraId="51B5E806" w14:textId="77777777" w:rsidR="003974C0" w:rsidRDefault="00792C8D" w:rsidP="00E40940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Develop and establish effective processes and systems to show compliance to all finance and procurement approvals for audit purposes and to ensure MEDD accountabilities are in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place</w:t>
            </w:r>
            <w:proofErr w:type="gramEnd"/>
          </w:p>
          <w:p w14:paraId="70348E8F" w14:textId="212F8410" w:rsidR="004426AE" w:rsidRPr="004426AE" w:rsidRDefault="004426AE" w:rsidP="004426AE">
            <w:pPr>
              <w:pStyle w:val="ListParagraph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4141" w:type="dxa"/>
          </w:tcPr>
          <w:p w14:paraId="2B4DF1F2" w14:textId="77777777" w:rsidR="003331BE" w:rsidRPr="00541C93" w:rsidRDefault="003331BE" w:rsidP="003331BE">
            <w:pPr>
              <w:pStyle w:val="ListParagraph"/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479D44" w14:textId="754D2F12" w:rsidR="008F48E1" w:rsidRPr="00541C93" w:rsidRDefault="4EBD042F" w:rsidP="008F48E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Divisional</w:t>
            </w:r>
            <w:r w:rsidR="008F48E1" w:rsidRPr="00541C93">
              <w:rPr>
                <w:rFonts w:ascii="Arial" w:eastAsia="Calibri" w:hAnsi="Arial" w:cs="Arial"/>
                <w:sz w:val="20"/>
                <w:szCs w:val="20"/>
              </w:rPr>
              <w:t xml:space="preserve"> priorities Vs plan</w:t>
            </w:r>
          </w:p>
          <w:p w14:paraId="1E691711" w14:textId="77777777" w:rsidR="008F48E1" w:rsidRPr="00541C93" w:rsidRDefault="008F48E1" w:rsidP="008F48E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Division Plan delivery Vs plan</w:t>
            </w:r>
          </w:p>
          <w:p w14:paraId="40A6A717" w14:textId="77777777" w:rsidR="008F48E1" w:rsidRPr="00541C93" w:rsidRDefault="008F48E1" w:rsidP="008F48E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Delivery of projects to </w:t>
            </w:r>
            <w:proofErr w:type="gramStart"/>
            <w:r w:rsidRPr="00541C93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gramEnd"/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464F4DF" w14:textId="77777777" w:rsidR="008F48E1" w:rsidRPr="00541C93" w:rsidRDefault="008F48E1" w:rsidP="008F48E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Financial performance Vs plan</w:t>
            </w:r>
          </w:p>
          <w:p w14:paraId="4012EED8" w14:textId="77777777" w:rsidR="008F48E1" w:rsidRPr="00541C93" w:rsidRDefault="008F48E1" w:rsidP="008F48E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Operational Metrics Vs SLAs</w:t>
            </w:r>
          </w:p>
          <w:p w14:paraId="0D3D694B" w14:textId="77777777" w:rsidR="008F48E1" w:rsidRPr="00541C93" w:rsidRDefault="008F48E1" w:rsidP="006B2058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41C93" w14:paraId="2F537030" w14:textId="77777777" w:rsidTr="764F3836">
        <w:trPr>
          <w:trHeight w:val="578"/>
        </w:trPr>
        <w:tc>
          <w:tcPr>
            <w:tcW w:w="6346" w:type="dxa"/>
          </w:tcPr>
          <w:p w14:paraId="15F76C32" w14:textId="77777777" w:rsidR="009E22D0" w:rsidRPr="00541C93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</w:p>
          <w:p w14:paraId="165BAA7A" w14:textId="5CC1F0B0" w:rsidR="00252222" w:rsidRPr="00541C93" w:rsidRDefault="00252222" w:rsidP="0025222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Accountable to drive the planning, monitoring and managing </w:t>
            </w:r>
            <w:r w:rsidR="00D70062">
              <w:rPr>
                <w:rFonts w:ascii="Arial" w:hAnsi="Arial" w:cs="Arial"/>
                <w:iCs/>
                <w:sz w:val="20"/>
                <w:szCs w:val="20"/>
              </w:rPr>
              <w:t xml:space="preserve">of 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MEDD budgets overhead, expenditure across operations and change in line with the planning and performance financial </w:t>
            </w:r>
            <w:proofErr w:type="gramStart"/>
            <w:r w:rsidRPr="00541C93">
              <w:rPr>
                <w:rFonts w:ascii="Arial" w:hAnsi="Arial" w:cs="Arial"/>
                <w:iCs/>
                <w:sz w:val="20"/>
                <w:szCs w:val="20"/>
              </w:rPr>
              <w:t>cycle</w:t>
            </w:r>
            <w:proofErr w:type="gramEnd"/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14:paraId="3D3E9723" w14:textId="1C433375" w:rsidR="002B5F7E" w:rsidRPr="00541C93" w:rsidRDefault="00252222" w:rsidP="0025222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In conjunction with the BI </w:t>
            </w:r>
            <w:r w:rsidR="00D70062">
              <w:rPr>
                <w:rFonts w:ascii="Arial" w:eastAsia="Calibri" w:hAnsi="Arial" w:cs="Arial"/>
                <w:sz w:val="20"/>
                <w:szCs w:val="20"/>
              </w:rPr>
              <w:t xml:space="preserve">and procurement 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>team</w:t>
            </w:r>
            <w:r w:rsidR="00D70062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>, m</w:t>
            </w:r>
            <w:r w:rsidR="07B9549A" w:rsidRPr="00541C93">
              <w:rPr>
                <w:rFonts w:ascii="Arial" w:eastAsia="Calibri" w:hAnsi="Arial" w:cs="Arial"/>
                <w:sz w:val="20"/>
                <w:szCs w:val="20"/>
              </w:rPr>
              <w:t>anage and develop the</w:t>
            </w:r>
            <w:r w:rsidR="3AC920F1" w:rsidRPr="00541C93">
              <w:rPr>
                <w:rFonts w:ascii="Arial" w:eastAsia="Calibri" w:hAnsi="Arial" w:cs="Arial"/>
                <w:sz w:val="20"/>
                <w:szCs w:val="20"/>
              </w:rPr>
              <w:t xml:space="preserve"> production of metrics from </w:t>
            </w:r>
            <w:r w:rsidR="08FABDD6" w:rsidRPr="00541C93">
              <w:rPr>
                <w:rFonts w:ascii="Arial" w:eastAsia="Calibri" w:hAnsi="Arial" w:cs="Arial"/>
                <w:sz w:val="20"/>
                <w:szCs w:val="20"/>
              </w:rPr>
              <w:t xml:space="preserve">third parties </w:t>
            </w:r>
            <w:r w:rsidR="3AC920F1" w:rsidRPr="00541C93">
              <w:rPr>
                <w:rFonts w:ascii="Arial" w:eastAsia="Calibri" w:hAnsi="Arial" w:cs="Arial"/>
                <w:sz w:val="20"/>
                <w:szCs w:val="20"/>
              </w:rPr>
              <w:t>and organisational data sources to inform business decisions and actions which results in a measurable improvement in business performance and trends.</w:t>
            </w:r>
            <w:r w:rsidR="00352DB6" w:rsidRPr="00541C9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C60C264" w14:textId="73CE534C" w:rsidR="31791653" w:rsidRPr="00541C93" w:rsidRDefault="31791653" w:rsidP="0025222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Take an active role in the monitoring and reporting of business benefits and related review sessions post implementation in partnership with </w:t>
            </w:r>
            <w:r w:rsidR="008F70FE" w:rsidRPr="00541C93">
              <w:rPr>
                <w:rFonts w:ascii="Arial" w:eastAsia="Calibri" w:hAnsi="Arial" w:cs="Arial"/>
                <w:sz w:val="20"/>
                <w:szCs w:val="20"/>
              </w:rPr>
              <w:t>finance.</w:t>
            </w:r>
          </w:p>
          <w:p w14:paraId="06CC5972" w14:textId="235EFE6A" w:rsidR="1FC5CF4D" w:rsidRPr="00541C93" w:rsidRDefault="1FC5CF4D" w:rsidP="0025222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Coordinate essential inputs to finance </w:t>
            </w:r>
            <w:r w:rsidR="00E40940" w:rsidRPr="00541C93">
              <w:rPr>
                <w:rFonts w:ascii="Arial" w:eastAsia="Calibri" w:hAnsi="Arial" w:cs="Arial"/>
                <w:sz w:val="20"/>
                <w:szCs w:val="20"/>
              </w:rPr>
              <w:t xml:space="preserve">and procurement teams to 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ensure that timely and accurate submission of data from MEDD </w:t>
            </w:r>
            <w:r w:rsidR="008F70FE" w:rsidRPr="00541C93">
              <w:rPr>
                <w:rFonts w:ascii="Arial" w:eastAsia="Calibri" w:hAnsi="Arial" w:cs="Arial"/>
                <w:sz w:val="20"/>
                <w:szCs w:val="20"/>
              </w:rPr>
              <w:t>team.</w:t>
            </w:r>
          </w:p>
          <w:p w14:paraId="3FE6C025" w14:textId="77777777" w:rsidR="00E40940" w:rsidRPr="00541C93" w:rsidRDefault="00E40940" w:rsidP="00252222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>Support the departmental timesheet process to ensure it is robust and that financial outputs are understood and tracked and suitable to support finance and capital recharging.</w:t>
            </w:r>
          </w:p>
          <w:p w14:paraId="4EFE34D2" w14:textId="77777777" w:rsidR="003F0076" w:rsidRPr="00541C93" w:rsidRDefault="003F0076" w:rsidP="00CB2F3C">
            <w:pPr>
              <w:pStyle w:val="ListParagraph"/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93D3036" w14:textId="780227ED" w:rsidR="003A11E6" w:rsidRPr="00541C93" w:rsidRDefault="003A11E6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C29B5F" w14:textId="15CF511F" w:rsidR="00AE7E31" w:rsidRPr="00541C93" w:rsidRDefault="00AE7E31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67E249" w14:textId="77777777" w:rsidR="00AE7E31" w:rsidRPr="00541C93" w:rsidRDefault="00AE7E31" w:rsidP="003A11E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B6F4BE1" w14:textId="77777777" w:rsidR="003F0076" w:rsidRPr="00541C93" w:rsidRDefault="003F0076" w:rsidP="003F007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Operational budget Vs plan.</w:t>
            </w:r>
          </w:p>
          <w:p w14:paraId="47BEBC6C" w14:textId="77777777" w:rsidR="003F0076" w:rsidRPr="00541C93" w:rsidRDefault="003F0076" w:rsidP="003F007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Member numbers Vs plan.</w:t>
            </w:r>
          </w:p>
          <w:p w14:paraId="7B4F5239" w14:textId="77777777" w:rsidR="003F0076" w:rsidRPr="00541C93" w:rsidRDefault="003F0076" w:rsidP="003F007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Income Vs plan.</w:t>
            </w:r>
          </w:p>
          <w:p w14:paraId="2D12507D" w14:textId="77777777" w:rsidR="003F0076" w:rsidRPr="00541C93" w:rsidRDefault="003F0076" w:rsidP="003F007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Retention targets delivered Vs plan.</w:t>
            </w:r>
          </w:p>
          <w:p w14:paraId="32A6A7F3" w14:textId="77777777" w:rsidR="003F0076" w:rsidRPr="00541C93" w:rsidRDefault="003F0076" w:rsidP="003F007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Reports communicated on supplier divisional compliance.</w:t>
            </w:r>
          </w:p>
          <w:p w14:paraId="3E85D544" w14:textId="77777777" w:rsidR="003F0076" w:rsidRPr="00541C93" w:rsidRDefault="003F0076" w:rsidP="003F007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41C93" w14:paraId="212DBB94" w14:textId="77777777" w:rsidTr="764F3836">
        <w:trPr>
          <w:trHeight w:val="578"/>
        </w:trPr>
        <w:tc>
          <w:tcPr>
            <w:tcW w:w="6346" w:type="dxa"/>
          </w:tcPr>
          <w:p w14:paraId="2F03BD27" w14:textId="77777777" w:rsidR="009E22D0" w:rsidRPr="00541C93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2271E595" w14:textId="77777777" w:rsidR="00541C93" w:rsidRPr="00541C93" w:rsidRDefault="00541C93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94C955" w14:textId="77777777" w:rsidR="00CD07D4" w:rsidRPr="00541C93" w:rsidRDefault="003F0076" w:rsidP="00676383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 and contribute to team, department and divisional continuous improvement projects aimed to drive operational efficiency</w:t>
            </w:r>
            <w:r w:rsidR="00CD07D4" w:rsidRPr="00541C9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D88310F" w14:textId="45C4E8B4" w:rsidR="009E22D0" w:rsidRPr="00541C93" w:rsidRDefault="25838A64" w:rsidP="764F3836">
            <w:pPr>
              <w:pStyle w:val="ListParagraph"/>
              <w:numPr>
                <w:ilvl w:val="0"/>
                <w:numId w:val="17"/>
              </w:numPr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670BC732" w:rsidRPr="00541C93">
              <w:rPr>
                <w:rFonts w:ascii="Arial" w:eastAsia="Calibri" w:hAnsi="Arial" w:cs="Arial"/>
                <w:sz w:val="20"/>
                <w:szCs w:val="20"/>
              </w:rPr>
              <w:t xml:space="preserve">eliver on KPIs, financial targets and great member experience and outcome. </w:t>
            </w:r>
          </w:p>
          <w:p w14:paraId="5E751DCA" w14:textId="77777777" w:rsidR="003F0076" w:rsidRPr="00541C93" w:rsidRDefault="00676383" w:rsidP="008F567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Always deliver fair treatment and outcomes for </w:t>
            </w:r>
            <w:r w:rsidR="00D87506" w:rsidRPr="00541C93">
              <w:rPr>
                <w:rFonts w:ascii="Arial" w:hAnsi="Arial" w:cs="Arial"/>
                <w:sz w:val="20"/>
                <w:szCs w:val="20"/>
              </w:rPr>
              <w:t>M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embers and compliance with associated policies and standards set out by Council, its </w:t>
            </w:r>
            <w:r w:rsidR="000660EC" w:rsidRPr="00541C93">
              <w:rPr>
                <w:rFonts w:ascii="Arial" w:hAnsi="Arial" w:cs="Arial"/>
                <w:sz w:val="20"/>
                <w:szCs w:val="20"/>
              </w:rPr>
              <w:t>committees,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 and delegated authorities.</w:t>
            </w:r>
          </w:p>
          <w:p w14:paraId="5CCECCE3" w14:textId="257A4350" w:rsidR="008F5679" w:rsidRPr="00541C93" w:rsidRDefault="008F5679" w:rsidP="008F567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04970266" w14:textId="77777777" w:rsidR="003A11E6" w:rsidRPr="00541C93" w:rsidRDefault="003A11E6" w:rsidP="003A11E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043C60B" w14:textId="5036DFBC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Net </w:t>
            </w:r>
            <w:r w:rsidR="00E82547" w:rsidRPr="00541C93">
              <w:rPr>
                <w:rFonts w:ascii="Arial" w:hAnsi="Arial" w:cs="Arial"/>
                <w:sz w:val="20"/>
                <w:szCs w:val="20"/>
              </w:rPr>
              <w:t>P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romoter </w:t>
            </w:r>
            <w:r w:rsidR="00E82547" w:rsidRPr="00541C93">
              <w:rPr>
                <w:rFonts w:ascii="Arial" w:hAnsi="Arial" w:cs="Arial"/>
                <w:sz w:val="20"/>
                <w:szCs w:val="20"/>
              </w:rPr>
              <w:t>S</w:t>
            </w:r>
            <w:r w:rsidRPr="00541C93">
              <w:rPr>
                <w:rFonts w:ascii="Arial" w:hAnsi="Arial" w:cs="Arial"/>
                <w:sz w:val="20"/>
                <w:szCs w:val="20"/>
              </w:rPr>
              <w:t>core</w:t>
            </w:r>
          </w:p>
          <w:p w14:paraId="3311564F" w14:textId="780B07BA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Member satisfaction survey results </w:t>
            </w:r>
            <w:r w:rsidR="00E82547" w:rsidRPr="00541C93">
              <w:rPr>
                <w:rFonts w:ascii="Arial" w:hAnsi="Arial" w:cs="Arial"/>
                <w:sz w:val="20"/>
                <w:szCs w:val="20"/>
              </w:rPr>
              <w:t>V</w:t>
            </w:r>
            <w:r w:rsidRPr="00541C93">
              <w:rPr>
                <w:rFonts w:ascii="Arial" w:hAnsi="Arial" w:cs="Arial"/>
                <w:sz w:val="20"/>
                <w:szCs w:val="20"/>
              </w:rPr>
              <w:t>s plan</w:t>
            </w:r>
          </w:p>
          <w:p w14:paraId="3B28E506" w14:textId="77777777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Stakeholder feedback</w:t>
            </w:r>
          </w:p>
          <w:p w14:paraId="2AE6E63B" w14:textId="5355F53D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Operational Metrics </w:t>
            </w:r>
            <w:r w:rsidR="00E82547" w:rsidRPr="00541C93">
              <w:rPr>
                <w:rFonts w:ascii="Arial" w:hAnsi="Arial" w:cs="Arial"/>
                <w:sz w:val="20"/>
                <w:szCs w:val="20"/>
              </w:rPr>
              <w:t>V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s SLAs </w:t>
            </w:r>
          </w:p>
          <w:p w14:paraId="771B311C" w14:textId="08A4300B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Quality monitoring / </w:t>
            </w:r>
            <w:r w:rsidR="00E82547" w:rsidRPr="00541C93">
              <w:rPr>
                <w:rFonts w:ascii="Arial" w:hAnsi="Arial" w:cs="Arial"/>
                <w:sz w:val="20"/>
                <w:szCs w:val="20"/>
              </w:rPr>
              <w:t>o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utcomes testing scores / compliance testing and internal audit </w:t>
            </w:r>
            <w:r w:rsidR="008F70FE" w:rsidRPr="00541C93">
              <w:rPr>
                <w:rFonts w:ascii="Arial" w:hAnsi="Arial" w:cs="Arial"/>
                <w:sz w:val="20"/>
                <w:szCs w:val="20"/>
              </w:rPr>
              <w:t>scores.</w:t>
            </w:r>
          </w:p>
          <w:p w14:paraId="6937EA8B" w14:textId="77777777" w:rsidR="009E22D0" w:rsidRPr="00541C93" w:rsidRDefault="009E22D0" w:rsidP="003F0076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41C93" w14:paraId="50F37519" w14:textId="77777777" w:rsidTr="764F3836">
        <w:trPr>
          <w:trHeight w:val="591"/>
        </w:trPr>
        <w:tc>
          <w:tcPr>
            <w:tcW w:w="6346" w:type="dxa"/>
          </w:tcPr>
          <w:p w14:paraId="7281D183" w14:textId="77777777" w:rsidR="009E22D0" w:rsidRPr="00541C93" w:rsidRDefault="009E22D0" w:rsidP="00E154E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lastRenderedPageBreak/>
              <w:t>People</w:t>
            </w:r>
          </w:p>
          <w:p w14:paraId="2CCFDA6D" w14:textId="51B1BCA1" w:rsidR="00874582" w:rsidRPr="00541C93" w:rsidRDefault="00AD0131" w:rsidP="005C4409">
            <w:pPr>
              <w:pStyle w:val="ListParagraph"/>
              <w:numPr>
                <w:ilvl w:val="0"/>
                <w:numId w:val="18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Build and maintain positive relationships with a wide range of stakeholders taking a collaborative approach to ways of working and problem solving.</w:t>
            </w:r>
          </w:p>
          <w:p w14:paraId="02F46C31" w14:textId="6A1CE082" w:rsidR="00051EAF" w:rsidRPr="00541C93" w:rsidRDefault="00051EAF" w:rsidP="2CEF58D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1C93">
              <w:rPr>
                <w:rFonts w:ascii="Arial" w:eastAsia="Arial" w:hAnsi="Arial" w:cs="Arial"/>
                <w:sz w:val="20"/>
                <w:szCs w:val="20"/>
              </w:rPr>
              <w:t>Take personal accountability for own training, competence, performance and engagement of self and colleagues ensuring clarity on own accountabilities and comply with all governance, policy standards and processes.</w:t>
            </w:r>
          </w:p>
          <w:p w14:paraId="2DFF78CD" w14:textId="77777777" w:rsidR="003974C0" w:rsidRDefault="00051EAF" w:rsidP="00E154EF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1C93">
              <w:rPr>
                <w:rFonts w:ascii="Arial" w:eastAsia="Arial" w:hAnsi="Arial" w:cs="Arial"/>
                <w:sz w:val="20"/>
                <w:szCs w:val="20"/>
              </w:rPr>
              <w:t>Take an active role in promoting a more inclusive environment which aligns with our commitment to celebrate and promote diversity.</w:t>
            </w:r>
          </w:p>
          <w:p w14:paraId="0A731705" w14:textId="761BF938" w:rsidR="004426AE" w:rsidRPr="00541C93" w:rsidRDefault="004426AE" w:rsidP="004426AE">
            <w:pPr>
              <w:pStyle w:val="ListParagraph"/>
              <w:spacing w:before="0" w:beforeAutospacing="0" w:after="0" w:afterAutospacing="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7C46CA3E" w14:textId="77777777" w:rsidR="003A11E6" w:rsidRPr="00541C93" w:rsidRDefault="003A11E6" w:rsidP="003A11E6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C9ABE7" w14:textId="77777777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Compliance with Training and Competence Schemes</w:t>
            </w:r>
          </w:p>
          <w:p w14:paraId="4DD48EAA" w14:textId="77777777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Delivery of Personal Development Plan to </w:t>
            </w:r>
            <w:proofErr w:type="gramStart"/>
            <w:r w:rsidRPr="00541C93">
              <w:rPr>
                <w:rFonts w:ascii="Arial" w:hAnsi="Arial" w:cs="Arial"/>
                <w:sz w:val="20"/>
                <w:szCs w:val="20"/>
              </w:rPr>
              <w:t>plan</w:t>
            </w:r>
            <w:proofErr w:type="gramEnd"/>
          </w:p>
          <w:p w14:paraId="6E71F01D" w14:textId="77777777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One to one / performance review meetings Vs Plan</w:t>
            </w:r>
          </w:p>
          <w:p w14:paraId="24157901" w14:textId="77777777" w:rsidR="003F0076" w:rsidRPr="00541C93" w:rsidRDefault="003F0076" w:rsidP="003F0076">
            <w:pPr>
              <w:pStyle w:val="ListParagraph"/>
              <w:numPr>
                <w:ilvl w:val="0"/>
                <w:numId w:val="6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Quality monitoring / Outcomes testing scores / compliance testing and internal audit </w:t>
            </w:r>
            <w:proofErr w:type="gramStart"/>
            <w:r w:rsidRPr="00541C93">
              <w:rPr>
                <w:rFonts w:ascii="Arial" w:hAnsi="Arial" w:cs="Arial"/>
                <w:sz w:val="20"/>
                <w:szCs w:val="20"/>
              </w:rPr>
              <w:t>scores</w:t>
            </w:r>
            <w:proofErr w:type="gramEnd"/>
          </w:p>
          <w:p w14:paraId="66CFE790" w14:textId="77777777" w:rsidR="009E22D0" w:rsidRPr="00541C93" w:rsidRDefault="009E22D0" w:rsidP="003F0076">
            <w:pPr>
              <w:tabs>
                <w:tab w:val="left" w:pos="3145"/>
              </w:tabs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41C93" w14:paraId="3FD280F2" w14:textId="77777777" w:rsidTr="764F3836">
        <w:trPr>
          <w:trHeight w:val="591"/>
        </w:trPr>
        <w:tc>
          <w:tcPr>
            <w:tcW w:w="6346" w:type="dxa"/>
          </w:tcPr>
          <w:p w14:paraId="26E02E9A" w14:textId="77777777" w:rsidR="009E22D0" w:rsidRPr="00541C93" w:rsidRDefault="009E22D0" w:rsidP="00B750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  <w:p w14:paraId="4AF4C648" w14:textId="77777777" w:rsidR="00CB2F3C" w:rsidRPr="00541C93" w:rsidRDefault="00E7725E" w:rsidP="00CB2F3C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Maintain a strong culture of compliance across all </w:t>
            </w:r>
            <w:proofErr w:type="gramStart"/>
            <w:r w:rsidRPr="00541C93">
              <w:rPr>
                <w:rFonts w:ascii="Arial" w:eastAsia="Calibri" w:hAnsi="Arial" w:cs="Arial"/>
                <w:sz w:val="20"/>
                <w:szCs w:val="20"/>
              </w:rPr>
              <w:t>vendor</w:t>
            </w:r>
            <w:proofErr w:type="gramEnd"/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 facing and commercial processes, challenging if required to ensure processes are followed across the team</w:t>
            </w:r>
          </w:p>
          <w:p w14:paraId="0B46FB3B" w14:textId="4839D3D8" w:rsidR="00F34D51" w:rsidRPr="00541C93" w:rsidRDefault="00E7725E" w:rsidP="00CB2F3C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Alongside the </w:t>
            </w:r>
            <w:r w:rsidR="004426AE" w:rsidRPr="004426AE">
              <w:rPr>
                <w:rFonts w:ascii="Arial" w:hAnsi="Arial" w:cs="Arial"/>
                <w:sz w:val="20"/>
                <w:szCs w:val="20"/>
              </w:rPr>
              <w:t xml:space="preserve">Senior Procurement Category Manager (IT) </w:t>
            </w:r>
            <w:r w:rsidRPr="00541C93">
              <w:rPr>
                <w:rFonts w:ascii="Arial" w:hAnsi="Arial" w:cs="Arial"/>
                <w:sz w:val="20"/>
                <w:szCs w:val="20"/>
              </w:rPr>
              <w:t>support in the m</w:t>
            </w:r>
            <w:r w:rsidR="00F34D51" w:rsidRPr="00541C93">
              <w:rPr>
                <w:rFonts w:ascii="Arial" w:hAnsi="Arial" w:cs="Arial"/>
                <w:sz w:val="20"/>
                <w:szCs w:val="20"/>
              </w:rPr>
              <w:t xml:space="preserve">anagement of Procurement </w:t>
            </w:r>
            <w:r w:rsidR="004426AE">
              <w:rPr>
                <w:rFonts w:ascii="Arial" w:hAnsi="Arial" w:cs="Arial"/>
                <w:sz w:val="20"/>
                <w:szCs w:val="20"/>
              </w:rPr>
              <w:t>r</w:t>
            </w:r>
            <w:r w:rsidR="00F34D51" w:rsidRPr="00541C93">
              <w:rPr>
                <w:rFonts w:ascii="Arial" w:hAnsi="Arial" w:cs="Arial"/>
                <w:sz w:val="20"/>
                <w:szCs w:val="20"/>
              </w:rPr>
              <w:t xml:space="preserve">isk </w:t>
            </w:r>
            <w:r w:rsidR="00093394" w:rsidRPr="00541C93">
              <w:rPr>
                <w:rFonts w:ascii="Arial" w:hAnsi="Arial" w:cs="Arial"/>
                <w:sz w:val="20"/>
                <w:szCs w:val="20"/>
              </w:rPr>
              <w:t xml:space="preserve">to enable resolution and mitigation of potential impact on MPS, </w:t>
            </w:r>
            <w:r w:rsidR="005C10C4" w:rsidRPr="00541C93">
              <w:rPr>
                <w:rFonts w:ascii="Arial" w:hAnsi="Arial" w:cs="Arial"/>
                <w:sz w:val="20"/>
                <w:szCs w:val="20"/>
              </w:rPr>
              <w:t>M</w:t>
            </w:r>
            <w:r w:rsidR="00093394" w:rsidRPr="00541C93">
              <w:rPr>
                <w:rFonts w:ascii="Arial" w:hAnsi="Arial" w:cs="Arial"/>
                <w:sz w:val="20"/>
                <w:szCs w:val="20"/>
              </w:rPr>
              <w:t>embers and colleagues.</w:t>
            </w:r>
          </w:p>
          <w:p w14:paraId="40EB0714" w14:textId="155DA167" w:rsidR="005C4409" w:rsidRPr="00541C93" w:rsidRDefault="005C4409" w:rsidP="00E7725E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Ensure appropriate business processes and controls are in place to support </w:t>
            </w:r>
            <w:r w:rsidR="005C10C4" w:rsidRPr="00541C93">
              <w:rPr>
                <w:rFonts w:ascii="Arial" w:hAnsi="Arial" w:cs="Arial"/>
                <w:sz w:val="20"/>
                <w:szCs w:val="20"/>
              </w:rPr>
              <w:t>c</w:t>
            </w:r>
            <w:r w:rsidRPr="00541C93">
              <w:rPr>
                <w:rFonts w:ascii="Arial" w:hAnsi="Arial" w:cs="Arial"/>
                <w:sz w:val="20"/>
                <w:szCs w:val="20"/>
              </w:rPr>
              <w:t>hange activity within risk appetite; comply with policies and regulatory requirements (as applicable).</w:t>
            </w:r>
          </w:p>
          <w:p w14:paraId="083EA2D2" w14:textId="26365406" w:rsidR="003F0076" w:rsidRPr="00541C93" w:rsidRDefault="003F0076" w:rsidP="00E7725E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Contribute to an environment where all colleagues recognise the importance of adherence to policies and procedures, risk identification and management</w:t>
            </w:r>
            <w:r w:rsidR="00FC4081" w:rsidRPr="00541C9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C95B5C" w14:textId="2CCE386B" w:rsidR="005C4409" w:rsidRPr="00541C93" w:rsidRDefault="00093394" w:rsidP="00E7725E">
            <w:pPr>
              <w:pStyle w:val="ListParagraph"/>
              <w:numPr>
                <w:ilvl w:val="0"/>
                <w:numId w:val="1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Shape</w:t>
            </w:r>
            <w:r w:rsidR="00156646" w:rsidRPr="00541C93">
              <w:rPr>
                <w:rFonts w:ascii="Arial" w:hAnsi="Arial" w:cs="Arial"/>
                <w:sz w:val="20"/>
                <w:szCs w:val="20"/>
              </w:rPr>
              <w:t xml:space="preserve"> and development interfaces to </w:t>
            </w:r>
            <w:r w:rsidR="005C4409" w:rsidRPr="00541C93">
              <w:rPr>
                <w:rFonts w:ascii="Arial" w:hAnsi="Arial" w:cs="Arial"/>
                <w:sz w:val="20"/>
                <w:szCs w:val="20"/>
              </w:rPr>
              <w:t>business processes and controls to manage the Department within risk appetite; comply with policies and regulatory requirements (as applicable)</w:t>
            </w:r>
          </w:p>
          <w:p w14:paraId="6035DA7F" w14:textId="0287578F" w:rsidR="00E40940" w:rsidRPr="00541C93" w:rsidRDefault="00E40940" w:rsidP="00E7725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Support effective and robust supply chain due diligence and governance and its implementation</w:t>
            </w:r>
            <w:r w:rsidR="004426AE">
              <w:rPr>
                <w:rFonts w:ascii="Arial" w:hAnsi="Arial" w:cs="Arial"/>
                <w:sz w:val="20"/>
                <w:szCs w:val="20"/>
              </w:rPr>
              <w:t xml:space="preserve"> aligned to the Vendor Management Framework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1EC344" w14:textId="77777777" w:rsidR="00E40940" w:rsidRPr="00541C93" w:rsidRDefault="00E40940" w:rsidP="00E40940">
            <w:pPr>
              <w:pStyle w:val="ListParagraph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52C7C" w14:textId="77777777" w:rsidR="0097616B" w:rsidRPr="00541C93" w:rsidRDefault="0097616B" w:rsidP="0097616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9D83529" w14:textId="77777777" w:rsidR="00FC4081" w:rsidRPr="00541C93" w:rsidRDefault="00FC4081" w:rsidP="00FC4081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4AD83E8" w14:textId="77777777" w:rsidR="005C4409" w:rsidRPr="00541C93" w:rsidRDefault="005C4409" w:rsidP="005C4409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Compliance with organisational Risk &amp; Control policies and processes</w:t>
            </w:r>
          </w:p>
          <w:p w14:paraId="267C54DD" w14:textId="77777777" w:rsidR="003F0076" w:rsidRPr="00541C93" w:rsidRDefault="003F0076" w:rsidP="003F0076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0AD07C81" w14:textId="042BFD20" w:rsidR="003F0076" w:rsidRPr="00541C93" w:rsidRDefault="003F0076" w:rsidP="003F0076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Audit Actions </w:t>
            </w:r>
          </w:p>
          <w:p w14:paraId="7B4508A6" w14:textId="77777777" w:rsidR="003F0076" w:rsidRPr="00541C93" w:rsidRDefault="003F0076" w:rsidP="003F0076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Internal and External audit outcomes</w:t>
            </w:r>
          </w:p>
          <w:p w14:paraId="0BA4796A" w14:textId="1F706E3F" w:rsidR="009E22D0" w:rsidRPr="00541C93" w:rsidRDefault="003F0076" w:rsidP="00D0279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Report </w:t>
            </w:r>
            <w:r w:rsidR="000660EC" w:rsidRPr="00541C93">
              <w:rPr>
                <w:rFonts w:ascii="Arial" w:eastAsia="Calibri" w:hAnsi="Arial" w:cs="Arial"/>
                <w:sz w:val="20"/>
                <w:szCs w:val="20"/>
              </w:rPr>
              <w:t>third party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 risk </w:t>
            </w:r>
          </w:p>
        </w:tc>
      </w:tr>
    </w:tbl>
    <w:p w14:paraId="09A9888D" w14:textId="77777777" w:rsidR="00FB4711" w:rsidRPr="00541C93" w:rsidRDefault="00FB4711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541C93" w14:paraId="76726EFC" w14:textId="77777777" w:rsidTr="764F383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7E84B62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A0D75A" w14:textId="77777777" w:rsidR="009E22D0" w:rsidRPr="00541C93" w:rsidRDefault="009E22D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541C93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541C93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541C93" w14:paraId="272E8A5E" w14:textId="77777777" w:rsidTr="764F3836">
        <w:trPr>
          <w:trHeight w:val="693"/>
        </w:trPr>
        <w:tc>
          <w:tcPr>
            <w:tcW w:w="10490" w:type="dxa"/>
          </w:tcPr>
          <w:p w14:paraId="3CBC1736" w14:textId="3B892746" w:rsidR="00F34D51" w:rsidRPr="00541C93" w:rsidRDefault="00F34D51" w:rsidP="003F05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ED8BC0" w14:textId="7174DEE6" w:rsidR="00BC4DD9" w:rsidRPr="00541C93" w:rsidRDefault="25B0AC64" w:rsidP="00316E60">
            <w:pPr>
              <w:pStyle w:val="ListParagraph"/>
              <w:numPr>
                <w:ilvl w:val="0"/>
                <w:numId w:val="20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Contribute to Divisional </w:t>
            </w:r>
            <w:r w:rsidR="3E3A8EC4" w:rsidRPr="00541C93">
              <w:rPr>
                <w:rFonts w:ascii="Arial" w:hAnsi="Arial" w:cs="Arial"/>
                <w:sz w:val="20"/>
                <w:szCs w:val="20"/>
              </w:rPr>
              <w:t xml:space="preserve">performance </w:t>
            </w:r>
            <w:r w:rsidRPr="00541C93">
              <w:rPr>
                <w:rFonts w:ascii="Arial" w:hAnsi="Arial" w:cs="Arial"/>
                <w:sz w:val="20"/>
                <w:szCs w:val="20"/>
              </w:rPr>
              <w:t xml:space="preserve">reporting and performance </w:t>
            </w:r>
            <w:r w:rsidR="3E3A8EC4" w:rsidRPr="00541C93">
              <w:rPr>
                <w:rFonts w:ascii="Arial" w:hAnsi="Arial" w:cs="Arial"/>
                <w:sz w:val="20"/>
                <w:szCs w:val="20"/>
              </w:rPr>
              <w:t>metrics.</w:t>
            </w:r>
          </w:p>
          <w:p w14:paraId="6BCDCACD" w14:textId="6D80EE97" w:rsidR="00316E60" w:rsidRPr="00541C93" w:rsidRDefault="00316E60" w:rsidP="00316E6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Champion the </w:t>
            </w:r>
            <w:r w:rsidR="004426AE">
              <w:rPr>
                <w:rFonts w:ascii="Arial" w:hAnsi="Arial" w:cs="Arial"/>
                <w:iCs/>
                <w:sz w:val="20"/>
                <w:szCs w:val="20"/>
              </w:rPr>
              <w:t>i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 xml:space="preserve">mplementation of strategic sourcing strategies and tools </w:t>
            </w:r>
            <w:r w:rsidR="00792C8D">
              <w:rPr>
                <w:rFonts w:ascii="Arial" w:hAnsi="Arial" w:cs="Arial"/>
                <w:iCs/>
                <w:sz w:val="20"/>
                <w:szCs w:val="20"/>
              </w:rPr>
              <w:t xml:space="preserve">as defined by finance, legal and procurement </w:t>
            </w:r>
            <w:r w:rsidRPr="00541C93">
              <w:rPr>
                <w:rFonts w:ascii="Arial" w:hAnsi="Arial" w:cs="Arial"/>
                <w:iCs/>
                <w:sz w:val="20"/>
                <w:szCs w:val="20"/>
              </w:rPr>
              <w:t>across the MEDD team to ensure compliance to agreed processes and governance as set by procurement.</w:t>
            </w:r>
          </w:p>
          <w:p w14:paraId="50EA0E29" w14:textId="77777777" w:rsidR="00316E60" w:rsidRPr="00541C93" w:rsidRDefault="00316E60" w:rsidP="00316E60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41C93">
              <w:rPr>
                <w:rFonts w:ascii="Arial" w:hAnsi="Arial" w:cs="Arial"/>
                <w:iCs/>
                <w:sz w:val="20"/>
                <w:szCs w:val="20"/>
              </w:rPr>
              <w:t>Assist in the development and maintenance of management reporting to assist in the efficient running of commercial processes and actively identify and remove bottle necks to the process.</w:t>
            </w:r>
          </w:p>
          <w:p w14:paraId="3E84498B" w14:textId="77777777" w:rsidR="00E40940" w:rsidRPr="00541C93" w:rsidRDefault="00E40940" w:rsidP="00E40940">
            <w:pPr>
              <w:numPr>
                <w:ilvl w:val="0"/>
                <w:numId w:val="20"/>
              </w:num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  <w:p w14:paraId="3F42413E" w14:textId="77777777" w:rsidR="00316E60" w:rsidRPr="00541C93" w:rsidRDefault="00316E60" w:rsidP="00E40940">
            <w:p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840452" w14:textId="169F5585" w:rsidR="2CEF58DF" w:rsidRPr="00541C93" w:rsidRDefault="2CEF58DF" w:rsidP="2CEF58DF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16EC36" w14:textId="77777777" w:rsidR="008179BF" w:rsidRDefault="008179BF" w:rsidP="008179BF">
            <w:pPr>
              <w:shd w:val="clear" w:color="auto" w:fill="FFFFFF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71A63A87" w14:textId="77777777" w:rsidR="004426AE" w:rsidRDefault="004426AE" w:rsidP="008179BF">
            <w:pPr>
              <w:shd w:val="clear" w:color="auto" w:fill="FFFFFF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1EE43FC6" w14:textId="77777777" w:rsidR="004426AE" w:rsidRDefault="004426AE" w:rsidP="008179BF">
            <w:pPr>
              <w:shd w:val="clear" w:color="auto" w:fill="FFFFFF"/>
              <w:ind w:left="714"/>
              <w:rPr>
                <w:rFonts w:ascii="Arial" w:hAnsi="Arial" w:cs="Arial"/>
                <w:sz w:val="20"/>
                <w:szCs w:val="20"/>
              </w:rPr>
            </w:pPr>
          </w:p>
          <w:p w14:paraId="36DF14D2" w14:textId="77777777" w:rsidR="004426AE" w:rsidRPr="00541C93" w:rsidRDefault="004426AE" w:rsidP="008179BF">
            <w:pPr>
              <w:shd w:val="clear" w:color="auto" w:fill="FFFFFF"/>
              <w:ind w:left="7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42D1" w:rsidRPr="00541C93" w14:paraId="42C5C269" w14:textId="77777777" w:rsidTr="764F383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45E786B9" w14:textId="77777777" w:rsidR="005542D1" w:rsidRPr="00541C93" w:rsidRDefault="005542D1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lastRenderedPageBreak/>
              <w:t>Key Governance Responsibilities</w:t>
            </w:r>
          </w:p>
          <w:p w14:paraId="04AED8F4" w14:textId="4C49CA6D" w:rsidR="00E82547" w:rsidRPr="00541C93" w:rsidRDefault="00E82547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42D1" w:rsidRPr="00541C93" w14:paraId="41F9A030" w14:textId="77777777" w:rsidTr="764F3836">
        <w:trPr>
          <w:trHeight w:val="693"/>
        </w:trPr>
        <w:tc>
          <w:tcPr>
            <w:tcW w:w="10490" w:type="dxa"/>
          </w:tcPr>
          <w:p w14:paraId="5E74253E" w14:textId="433C16F9" w:rsidR="008179BF" w:rsidRPr="00541C93" w:rsidRDefault="13E3A473" w:rsidP="00E8254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Participate in MPS Committees and sub-groups</w:t>
            </w:r>
            <w:r w:rsidR="7E63C88A" w:rsidRPr="00541C93">
              <w:rPr>
                <w:rFonts w:ascii="Arial" w:hAnsi="Arial" w:cs="Arial"/>
                <w:sz w:val="20"/>
                <w:szCs w:val="20"/>
              </w:rPr>
              <w:t xml:space="preserve"> (where required)</w:t>
            </w:r>
          </w:p>
          <w:p w14:paraId="28C5A938" w14:textId="40FA89B9" w:rsidR="005542D1" w:rsidRPr="00541C93" w:rsidRDefault="005542D1" w:rsidP="764F38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08CA4F" w14:textId="77777777" w:rsidR="00874582" w:rsidRPr="00541C93" w:rsidRDefault="00874582" w:rsidP="00B75089">
      <w:pPr>
        <w:rPr>
          <w:rFonts w:ascii="Arial" w:hAnsi="Arial" w:cs="Arial"/>
          <w:sz w:val="20"/>
          <w:szCs w:val="20"/>
        </w:rPr>
      </w:pPr>
    </w:p>
    <w:p w14:paraId="3B401E68" w14:textId="25DB4450" w:rsidR="005C10C4" w:rsidRPr="00541C93" w:rsidRDefault="005C10C4" w:rsidP="00B75089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541C93" w14:paraId="23884174" w14:textId="77777777" w:rsidTr="2CEF58DF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71F721A8" w14:textId="77777777" w:rsidR="0056188D" w:rsidRPr="00541C93" w:rsidRDefault="0056188D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D30C57" w14:textId="77777777" w:rsidR="0056188D" w:rsidRPr="00541C93" w:rsidRDefault="00C91CFA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40812279"/>
            <w:r w:rsidRPr="00541C93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  <w:bookmarkEnd w:id="1"/>
          </w:p>
        </w:tc>
        <w:tc>
          <w:tcPr>
            <w:tcW w:w="4482" w:type="dxa"/>
            <w:shd w:val="clear" w:color="auto" w:fill="D9D9D9" w:themeFill="background1" w:themeFillShade="D9"/>
          </w:tcPr>
          <w:p w14:paraId="2B8D2512" w14:textId="77777777" w:rsidR="0056188D" w:rsidRPr="00541C93" w:rsidRDefault="0056188D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D3F79B" w14:textId="77777777" w:rsidR="0056188D" w:rsidRPr="00541C93" w:rsidRDefault="00C91CFA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3ECEEDDE" w14:textId="77777777" w:rsidR="00520900" w:rsidRPr="00541C93" w:rsidRDefault="00520900" w:rsidP="00B75089">
            <w:pPr>
              <w:widowControl w:val="0"/>
              <w:autoSpaceDE w:val="0"/>
              <w:autoSpaceDN w:val="0"/>
              <w:adjustRightInd w:val="0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0900" w:rsidRPr="00541C93" w14:paraId="41DCA402" w14:textId="77777777" w:rsidTr="2CEF58DF">
        <w:trPr>
          <w:trHeight w:val="211"/>
        </w:trPr>
        <w:tc>
          <w:tcPr>
            <w:tcW w:w="6008" w:type="dxa"/>
          </w:tcPr>
          <w:p w14:paraId="3D43D6E2" w14:textId="77777777" w:rsidR="00520900" w:rsidRPr="00541C93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E976A79" w14:textId="79980422" w:rsidR="00520900" w:rsidRPr="00541C93" w:rsidRDefault="7D6672B5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6E7EE927" w:rsidRPr="00541C93">
              <w:rPr>
                <w:rFonts w:ascii="Arial" w:hAnsi="Arial" w:cs="Arial"/>
                <w:sz w:val="20"/>
                <w:szCs w:val="20"/>
              </w:rPr>
              <w:t>Self</w:t>
            </w:r>
          </w:p>
        </w:tc>
      </w:tr>
      <w:tr w:rsidR="00520900" w:rsidRPr="00541C93" w14:paraId="213541E3" w14:textId="77777777" w:rsidTr="2CEF58DF">
        <w:trPr>
          <w:trHeight w:val="211"/>
        </w:trPr>
        <w:tc>
          <w:tcPr>
            <w:tcW w:w="6008" w:type="dxa"/>
          </w:tcPr>
          <w:p w14:paraId="488CCAE6" w14:textId="77777777" w:rsidR="00520900" w:rsidRPr="00541C93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Building Capability in Self and Others</w:t>
            </w:r>
          </w:p>
        </w:tc>
        <w:tc>
          <w:tcPr>
            <w:tcW w:w="4482" w:type="dxa"/>
          </w:tcPr>
          <w:p w14:paraId="5C50C227" w14:textId="077133C7" w:rsidR="00520900" w:rsidRPr="00541C93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F34D51" w:rsidRPr="00541C93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541C93" w14:paraId="274A22D9" w14:textId="77777777" w:rsidTr="2CEF58DF">
        <w:trPr>
          <w:trHeight w:val="211"/>
        </w:trPr>
        <w:tc>
          <w:tcPr>
            <w:tcW w:w="6008" w:type="dxa"/>
          </w:tcPr>
          <w:p w14:paraId="132D74A3" w14:textId="77777777" w:rsidR="00520900" w:rsidRPr="00541C93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51E05C84" w14:textId="17B47E13" w:rsidR="00520900" w:rsidRPr="00541C93" w:rsidRDefault="7D6672B5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CA3001" w:rsidRPr="00541C93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541C93" w14:paraId="767B218A" w14:textId="77777777" w:rsidTr="2CEF58DF">
        <w:trPr>
          <w:trHeight w:val="211"/>
        </w:trPr>
        <w:tc>
          <w:tcPr>
            <w:tcW w:w="6008" w:type="dxa"/>
          </w:tcPr>
          <w:p w14:paraId="6227B213" w14:textId="77777777" w:rsidR="00520900" w:rsidRPr="00541C93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Collaborating for Results</w:t>
            </w:r>
          </w:p>
        </w:tc>
        <w:tc>
          <w:tcPr>
            <w:tcW w:w="4482" w:type="dxa"/>
          </w:tcPr>
          <w:p w14:paraId="27E77B8A" w14:textId="5A50F05E" w:rsidR="00520900" w:rsidRPr="00541C93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2C7907" w:rsidRPr="00541C93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541C93" w14:paraId="35813C8C" w14:textId="77777777" w:rsidTr="2CEF58DF">
        <w:trPr>
          <w:trHeight w:val="211"/>
        </w:trPr>
        <w:tc>
          <w:tcPr>
            <w:tcW w:w="6008" w:type="dxa"/>
          </w:tcPr>
          <w:p w14:paraId="6CC2A51D" w14:textId="77777777" w:rsidR="00520900" w:rsidRPr="00541C93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02453EA7" w14:textId="06E85B55" w:rsidR="00520900" w:rsidRPr="00541C93" w:rsidRDefault="7D6672B5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34678836" w:rsidRPr="00541C93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  <w:tr w:rsidR="00520900" w:rsidRPr="00541C93" w14:paraId="5B72D2E3" w14:textId="77777777" w:rsidTr="2CEF58DF">
        <w:trPr>
          <w:trHeight w:val="211"/>
        </w:trPr>
        <w:tc>
          <w:tcPr>
            <w:tcW w:w="6008" w:type="dxa"/>
          </w:tcPr>
          <w:p w14:paraId="39FCA353" w14:textId="77777777" w:rsidR="00520900" w:rsidRPr="00541C93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Commercial and Risk Thinking </w:t>
            </w:r>
          </w:p>
        </w:tc>
        <w:tc>
          <w:tcPr>
            <w:tcW w:w="4482" w:type="dxa"/>
          </w:tcPr>
          <w:p w14:paraId="2C12772D" w14:textId="799B4F0B" w:rsidR="00520900" w:rsidRPr="00541C93" w:rsidRDefault="00520900" w:rsidP="00520900">
            <w:pPr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hAnsi="Arial" w:cs="Arial"/>
                <w:sz w:val="20"/>
                <w:szCs w:val="20"/>
              </w:rPr>
              <w:t xml:space="preserve">Leading </w:t>
            </w:r>
            <w:r w:rsidR="00F34D51" w:rsidRPr="00541C93">
              <w:rPr>
                <w:rFonts w:ascii="Arial" w:hAnsi="Arial" w:cs="Arial"/>
                <w:sz w:val="20"/>
                <w:szCs w:val="20"/>
              </w:rPr>
              <w:t>Others</w:t>
            </w:r>
          </w:p>
        </w:tc>
      </w:tr>
    </w:tbl>
    <w:p w14:paraId="2E128636" w14:textId="3FDE2C0D" w:rsidR="003C0E67" w:rsidRPr="00541C93" w:rsidRDefault="003C0E67">
      <w:pPr>
        <w:rPr>
          <w:rFonts w:ascii="Arial" w:hAnsi="Arial" w:cs="Arial"/>
          <w:sz w:val="20"/>
          <w:szCs w:val="20"/>
        </w:rPr>
      </w:pPr>
    </w:p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654"/>
        <w:gridCol w:w="3063"/>
        <w:gridCol w:w="4279"/>
      </w:tblGrid>
      <w:tr w:rsidR="00FF16B8" w:rsidRPr="00541C93" w14:paraId="72C7ACD0" w14:textId="77777777" w:rsidTr="764F3836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5F112AA0" w14:textId="7EC6DCD3" w:rsidR="00E40AC5" w:rsidRPr="00541C93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4" w:type="dxa"/>
            <w:shd w:val="clear" w:color="auto" w:fill="D9D9D9" w:themeFill="background1" w:themeFillShade="D9"/>
          </w:tcPr>
          <w:p w14:paraId="309D2600" w14:textId="77777777" w:rsidR="00E40AC5" w:rsidRPr="00541C93" w:rsidRDefault="69FF35C9" w:rsidP="2CEF5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bCs/>
                <w:sz w:val="20"/>
                <w:szCs w:val="20"/>
              </w:rPr>
              <w:t>Knowledge and Qualifications</w:t>
            </w:r>
          </w:p>
        </w:tc>
        <w:tc>
          <w:tcPr>
            <w:tcW w:w="3063" w:type="dxa"/>
            <w:shd w:val="clear" w:color="auto" w:fill="D9D9D9" w:themeFill="background1" w:themeFillShade="D9"/>
          </w:tcPr>
          <w:p w14:paraId="17C79ABB" w14:textId="77777777" w:rsidR="00E40AC5" w:rsidRPr="00541C93" w:rsidRDefault="00E40AC5" w:rsidP="00B750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14:paraId="5F87AB68" w14:textId="6090C61F" w:rsidR="00E40AC5" w:rsidRPr="00541C93" w:rsidRDefault="69FF35C9" w:rsidP="2CEF58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</w:tr>
      <w:tr w:rsidR="00520900" w:rsidRPr="00541C93" w14:paraId="3A69E615" w14:textId="77777777" w:rsidTr="764F3836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713DA750" w14:textId="77777777" w:rsidR="00520900" w:rsidRPr="00541C93" w:rsidRDefault="00520900" w:rsidP="005209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654" w:type="dxa"/>
          </w:tcPr>
          <w:p w14:paraId="57F8AEF3" w14:textId="08AA32C4" w:rsidR="00252222" w:rsidRPr="00541C93" w:rsidRDefault="00E7725E" w:rsidP="00E7725E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Knowledge in the production of consolidated financial budgets and forecasts</w:t>
            </w:r>
            <w:r w:rsidR="00CB2F3C" w:rsidRPr="00541C93">
              <w:rPr>
                <w:rFonts w:ascii="Arial" w:eastAsia="Calibri" w:hAnsi="Arial" w:cs="Arial"/>
                <w:sz w:val="20"/>
                <w:szCs w:val="20"/>
              </w:rPr>
              <w:t xml:space="preserve"> within a business change environment </w:t>
            </w:r>
          </w:p>
          <w:p w14:paraId="0A9383F8" w14:textId="6AA836B1" w:rsidR="00E7725E" w:rsidRPr="00541C93" w:rsidRDefault="00E40940" w:rsidP="00CB2F3C">
            <w:pPr>
              <w:pStyle w:val="ListParagraph"/>
              <w:numPr>
                <w:ilvl w:val="0"/>
                <w:numId w:val="14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K</w:t>
            </w:r>
            <w:r w:rsidR="008179BF" w:rsidRPr="00541C93">
              <w:rPr>
                <w:rFonts w:ascii="Arial" w:eastAsia="Calibri" w:hAnsi="Arial" w:cs="Arial"/>
                <w:sz w:val="20"/>
                <w:szCs w:val="20"/>
              </w:rPr>
              <w:t xml:space="preserve">nowledge of procurement </w:t>
            </w:r>
            <w:r w:rsidR="004426AE" w:rsidRPr="00541C93">
              <w:rPr>
                <w:rFonts w:ascii="Arial" w:eastAsia="Calibri" w:hAnsi="Arial" w:cs="Arial"/>
                <w:sz w:val="20"/>
                <w:szCs w:val="20"/>
              </w:rPr>
              <w:t>practice, supplier</w:t>
            </w:r>
            <w:r w:rsidR="000660EC" w:rsidRPr="00541C9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8179BF" w:rsidRPr="00541C93">
              <w:rPr>
                <w:rFonts w:ascii="Arial" w:eastAsia="Calibri" w:hAnsi="Arial" w:cs="Arial"/>
                <w:sz w:val="20"/>
                <w:szCs w:val="20"/>
              </w:rPr>
              <w:t xml:space="preserve"> and contract management.</w:t>
            </w:r>
          </w:p>
          <w:p w14:paraId="5F9DCA84" w14:textId="77777777" w:rsidR="00520900" w:rsidRPr="00541C93" w:rsidRDefault="00AD0131" w:rsidP="00E567E5">
            <w:pPr>
              <w:pStyle w:val="ListParagraph"/>
              <w:numPr>
                <w:ilvl w:val="0"/>
                <w:numId w:val="7"/>
              </w:numPr>
              <w:spacing w:after="0"/>
              <w:ind w:left="392" w:hanging="284"/>
              <w:rPr>
                <w:rFonts w:ascii="Arial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Proficient IT skills including MS Word, MS </w:t>
            </w:r>
            <w:r w:rsidR="000660EC" w:rsidRPr="00541C93">
              <w:rPr>
                <w:rFonts w:ascii="Arial" w:eastAsia="Calibri" w:hAnsi="Arial" w:cs="Arial"/>
                <w:sz w:val="20"/>
                <w:szCs w:val="20"/>
              </w:rPr>
              <w:t>Excel,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 and MS PowerPoint, and comfortable with numerical reasoning.</w:t>
            </w:r>
          </w:p>
          <w:p w14:paraId="087E0AFA" w14:textId="536833F3" w:rsidR="00E7725E" w:rsidRPr="00541C93" w:rsidRDefault="00E7725E" w:rsidP="00E7725E">
            <w:pPr>
              <w:pStyle w:val="ListParagraph"/>
              <w:spacing w:after="0"/>
              <w:ind w:left="39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14:paraId="6677CF97" w14:textId="681B3FD3" w:rsidR="00BC6991" w:rsidRPr="00541C93" w:rsidRDefault="00520900" w:rsidP="00BC6991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Demonstrable work experience</w:t>
            </w:r>
            <w:r w:rsidR="00C87A8C" w:rsidRPr="00541C9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188643BD" w14:textId="77777777" w:rsidR="00BC6991" w:rsidRPr="00541C93" w:rsidRDefault="00BC6991" w:rsidP="00BC6991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Analytical skills and strong commercial acumen</w:t>
            </w:r>
            <w:r w:rsidR="00C87A8C" w:rsidRPr="00541C9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1E16201" w14:textId="77777777" w:rsidR="00520900" w:rsidRPr="00541C93" w:rsidRDefault="00520900" w:rsidP="00520900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Ability to work to tight deadlines.</w:t>
            </w:r>
          </w:p>
          <w:p w14:paraId="6E79B0FA" w14:textId="77777777" w:rsidR="00520900" w:rsidRPr="00541C93" w:rsidRDefault="00520900" w:rsidP="00520900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Excellent attention to detail.</w:t>
            </w:r>
          </w:p>
          <w:p w14:paraId="4D876752" w14:textId="77777777" w:rsidR="00520900" w:rsidRPr="00541C93" w:rsidRDefault="00520900" w:rsidP="00520900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Ability to engage and challenge at all levels; strong influencing skills coupled with tenacity and resilience.</w:t>
            </w:r>
          </w:p>
          <w:p w14:paraId="5E93A268" w14:textId="3DFD467A" w:rsidR="00520900" w:rsidRPr="00541C93" w:rsidRDefault="00520900" w:rsidP="00520900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Excellent communication and influencing skills </w:t>
            </w:r>
            <w:r w:rsidR="000660EC" w:rsidRPr="00541C93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 liaise with stakeholders at varying levels.</w:t>
            </w:r>
          </w:p>
          <w:p w14:paraId="60CA6604" w14:textId="611BA12A" w:rsidR="00AD0131" w:rsidRPr="00541C93" w:rsidRDefault="00AD0131" w:rsidP="00520900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Be able to </w:t>
            </w:r>
            <w:r w:rsidR="002A65F3" w:rsidRPr="00541C93">
              <w:rPr>
                <w:rFonts w:ascii="Arial" w:eastAsia="Calibri" w:hAnsi="Arial" w:cs="Arial"/>
                <w:sz w:val="20"/>
                <w:szCs w:val="20"/>
              </w:rPr>
              <w:t xml:space="preserve">coach 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and provide commercial guidance to relevant </w:t>
            </w:r>
            <w:r w:rsidR="002A65F3" w:rsidRPr="00541C93">
              <w:rPr>
                <w:rFonts w:ascii="Arial" w:eastAsia="Calibri" w:hAnsi="Arial" w:cs="Arial"/>
                <w:sz w:val="20"/>
                <w:szCs w:val="20"/>
              </w:rPr>
              <w:t>teams</w:t>
            </w:r>
            <w:r w:rsidR="003E46D0" w:rsidRPr="00541C93">
              <w:rPr>
                <w:rFonts w:ascii="Arial" w:eastAsia="Calibri" w:hAnsi="Arial" w:cs="Arial"/>
                <w:sz w:val="20"/>
                <w:szCs w:val="20"/>
              </w:rPr>
              <w:t xml:space="preserve"> and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 stakeholders.</w:t>
            </w:r>
          </w:p>
          <w:p w14:paraId="4FB8996B" w14:textId="77777777" w:rsidR="008179BF" w:rsidRPr="00541C93" w:rsidRDefault="008179BF" w:rsidP="00520900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Be a self-motivator, but also able to work well as part of a team and have a strong hands-on approach</w:t>
            </w:r>
            <w:r w:rsidR="00C87A8C" w:rsidRPr="00541C9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77E28246" w14:textId="77777777" w:rsidR="00520900" w:rsidRPr="00541C93" w:rsidRDefault="00520900" w:rsidP="00252222">
            <w:pPr>
              <w:pStyle w:val="ListParagraph"/>
              <w:ind w:left="33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9" w:type="dxa"/>
          </w:tcPr>
          <w:p w14:paraId="21FF2CA8" w14:textId="77777777" w:rsidR="00E7725E" w:rsidRPr="00541C93" w:rsidRDefault="4258AD35" w:rsidP="00E7725E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B</w:t>
            </w:r>
            <w:r w:rsidR="3EF2AE41" w:rsidRPr="00541C93">
              <w:rPr>
                <w:rFonts w:ascii="Arial" w:eastAsia="Calibri" w:hAnsi="Arial" w:cs="Arial"/>
                <w:sz w:val="20"/>
                <w:szCs w:val="20"/>
              </w:rPr>
              <w:t xml:space="preserve">ackground in </w:t>
            </w:r>
            <w:r w:rsidR="26726DCC" w:rsidRPr="00541C93">
              <w:rPr>
                <w:rFonts w:ascii="Arial" w:eastAsia="Calibri" w:hAnsi="Arial" w:cs="Arial"/>
                <w:sz w:val="20"/>
                <w:szCs w:val="20"/>
              </w:rPr>
              <w:t>administering complex processes</w:t>
            </w:r>
            <w:r w:rsidR="3EF2AE41" w:rsidRPr="00541C9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5DBDD42B" w14:textId="4384208F" w:rsidR="00E7725E" w:rsidRPr="00541C93" w:rsidRDefault="00E7725E" w:rsidP="00E7725E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Proven experience of working alongside business change teams or digital delivery programmes working in collaboration with </w:t>
            </w:r>
            <w:r w:rsidR="004426AE">
              <w:rPr>
                <w:rFonts w:ascii="Arial" w:eastAsia="Calibri" w:hAnsi="Arial" w:cs="Arial"/>
                <w:sz w:val="20"/>
                <w:szCs w:val="20"/>
              </w:rPr>
              <w:t xml:space="preserve">third 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>party suppliers and internal IT teams</w:t>
            </w:r>
          </w:p>
          <w:p w14:paraId="1F2CCE9E" w14:textId="361EC45B" w:rsidR="00520900" w:rsidRPr="00541C93" w:rsidRDefault="00520900" w:rsidP="00520900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Experience of developing and maintaining procurement </w:t>
            </w:r>
            <w:r w:rsidR="003E46D0" w:rsidRPr="00541C93">
              <w:rPr>
                <w:rFonts w:ascii="Arial" w:eastAsia="Calibri" w:hAnsi="Arial" w:cs="Arial"/>
                <w:sz w:val="20"/>
                <w:szCs w:val="20"/>
              </w:rPr>
              <w:t>and financial data</w:t>
            </w:r>
            <w:r w:rsidRPr="00541C9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14:paraId="21419A83" w14:textId="2DF032AE" w:rsidR="008179BF" w:rsidRPr="00541C93" w:rsidRDefault="00D315A4" w:rsidP="008179BF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Detailed </w:t>
            </w:r>
            <w:r w:rsidR="00520900" w:rsidRPr="00541C93">
              <w:rPr>
                <w:rFonts w:ascii="Arial" w:eastAsia="Calibri" w:hAnsi="Arial" w:cs="Arial"/>
                <w:sz w:val="20"/>
                <w:szCs w:val="20"/>
              </w:rPr>
              <w:t>understanding of procurement processes and procedures.</w:t>
            </w:r>
          </w:p>
          <w:p w14:paraId="337DAA67" w14:textId="77777777" w:rsidR="00520900" w:rsidRPr="00541C93" w:rsidRDefault="00520900" w:rsidP="00520900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>Experience in handling confidential information and communicating clear messages internally and externally.</w:t>
            </w:r>
          </w:p>
          <w:p w14:paraId="5F924A66" w14:textId="15290045" w:rsidR="00252222" w:rsidRPr="00541C93" w:rsidRDefault="00252222" w:rsidP="00520900">
            <w:pPr>
              <w:pStyle w:val="ListParagraph"/>
              <w:numPr>
                <w:ilvl w:val="0"/>
                <w:numId w:val="7"/>
              </w:numPr>
              <w:ind w:left="332" w:hanging="284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Experience of translating financial information to different audiences </w:t>
            </w:r>
          </w:p>
          <w:p w14:paraId="76FEEFAE" w14:textId="77777777" w:rsidR="00520900" w:rsidRPr="00541C93" w:rsidRDefault="00520900" w:rsidP="00520900">
            <w:pPr>
              <w:ind w:left="50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3DE43E" w14:textId="77777777" w:rsidR="00520900" w:rsidRPr="00541C93" w:rsidRDefault="00520900" w:rsidP="00520900">
            <w:pPr>
              <w:ind w:left="50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0900" w:rsidRPr="00541C93" w14:paraId="7708683D" w14:textId="77777777" w:rsidTr="764F3836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0BAC7904" w14:textId="77777777" w:rsidR="00520900" w:rsidRPr="00541C93" w:rsidRDefault="00520900" w:rsidP="0052090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654" w:type="dxa"/>
          </w:tcPr>
          <w:p w14:paraId="344AE005" w14:textId="135F4EEE" w:rsidR="00E7725E" w:rsidRPr="00541C93" w:rsidRDefault="00E7725E" w:rsidP="00E7725E">
            <w:pPr>
              <w:pStyle w:val="ListParagraph"/>
              <w:numPr>
                <w:ilvl w:val="0"/>
                <w:numId w:val="7"/>
              </w:numPr>
              <w:ind w:left="249" w:hanging="187"/>
              <w:rPr>
                <w:rFonts w:ascii="Arial" w:eastAsia="Calibri" w:hAnsi="Arial" w:cs="Arial"/>
                <w:sz w:val="20"/>
                <w:szCs w:val="20"/>
              </w:rPr>
            </w:pPr>
            <w:r w:rsidRPr="00541C93">
              <w:rPr>
                <w:rFonts w:ascii="Arial" w:eastAsia="Calibri" w:hAnsi="Arial" w:cs="Arial"/>
                <w:sz w:val="20"/>
                <w:szCs w:val="20"/>
              </w:rPr>
              <w:t xml:space="preserve">Qualified accountant (CIMA / ACCA / ACA) with post qualification experience </w:t>
            </w:r>
          </w:p>
          <w:p w14:paraId="30324BF1" w14:textId="6BFB6527" w:rsidR="00520900" w:rsidRPr="00541C93" w:rsidRDefault="00520900" w:rsidP="00BC4DD9">
            <w:pPr>
              <w:pStyle w:val="ListParagraph"/>
              <w:spacing w:after="0"/>
              <w:ind w:left="39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63" w:type="dxa"/>
          </w:tcPr>
          <w:p w14:paraId="14983797" w14:textId="3248CA4D" w:rsidR="00520900" w:rsidRPr="00541C93" w:rsidRDefault="00520900" w:rsidP="00E82547">
            <w:pPr>
              <w:pStyle w:val="ListParagraph"/>
              <w:ind w:left="332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79" w:type="dxa"/>
          </w:tcPr>
          <w:p w14:paraId="2E9969EF" w14:textId="14C9FF4B" w:rsidR="00520900" w:rsidRPr="00541C93" w:rsidRDefault="00520900" w:rsidP="00520900">
            <w:pPr>
              <w:numPr>
                <w:ilvl w:val="0"/>
                <w:numId w:val="7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C93">
              <w:rPr>
                <w:rFonts w:ascii="Arial" w:hAnsi="Arial" w:cs="Arial"/>
                <w:color w:val="000000"/>
                <w:sz w:val="20"/>
                <w:szCs w:val="20"/>
              </w:rPr>
              <w:t xml:space="preserve">Previous experience of </w:t>
            </w:r>
            <w:r w:rsidR="007D427C" w:rsidRPr="00541C93">
              <w:rPr>
                <w:rFonts w:ascii="Arial" w:hAnsi="Arial" w:cs="Arial"/>
                <w:color w:val="000000"/>
                <w:sz w:val="20"/>
                <w:szCs w:val="20"/>
              </w:rPr>
              <w:t>transformation and change.</w:t>
            </w:r>
          </w:p>
          <w:p w14:paraId="4E81B3A4" w14:textId="55EA543F" w:rsidR="00AD0131" w:rsidRPr="00541C93" w:rsidRDefault="00AD0131" w:rsidP="00520900">
            <w:pPr>
              <w:numPr>
                <w:ilvl w:val="0"/>
                <w:numId w:val="7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1C93">
              <w:rPr>
                <w:rFonts w:ascii="Arial" w:hAnsi="Arial" w:cs="Arial"/>
                <w:color w:val="000000"/>
                <w:sz w:val="20"/>
                <w:szCs w:val="20"/>
              </w:rPr>
              <w:t>Experience of operating in a complex, commercial organisation</w:t>
            </w:r>
            <w:r w:rsidR="00C87A8C" w:rsidRPr="00541C9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0D56ECC" w14:textId="74CA3BCF" w:rsidR="00C306FF" w:rsidRPr="00541C93" w:rsidRDefault="00C306FF" w:rsidP="00F52149">
            <w:pPr>
              <w:numPr>
                <w:ilvl w:val="0"/>
                <w:numId w:val="7"/>
              </w:numPr>
              <w:shd w:val="clear" w:color="auto" w:fill="FFFFFF"/>
              <w:spacing w:before="100" w:after="100"/>
              <w:ind w:left="379"/>
              <w:rPr>
                <w:rFonts w:ascii="Arial" w:hAnsi="Arial" w:cs="Arial"/>
                <w:b/>
                <w:sz w:val="20"/>
                <w:szCs w:val="20"/>
              </w:rPr>
            </w:pPr>
            <w:r w:rsidRPr="00541C93">
              <w:rPr>
                <w:rFonts w:ascii="Arial" w:hAnsi="Arial" w:cs="Arial"/>
                <w:color w:val="000000"/>
                <w:sz w:val="20"/>
                <w:szCs w:val="20"/>
              </w:rPr>
              <w:t>Supplier Relationship Management experience</w:t>
            </w:r>
            <w:r w:rsidRPr="00541C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893EE17" w14:textId="77777777" w:rsidR="0056188D" w:rsidRPr="00541C93" w:rsidRDefault="0056188D" w:rsidP="004426AE">
      <w:pPr>
        <w:rPr>
          <w:rFonts w:ascii="Arial" w:hAnsi="Arial" w:cs="Arial"/>
          <w:sz w:val="20"/>
          <w:szCs w:val="20"/>
        </w:rPr>
      </w:pPr>
    </w:p>
    <w:sectPr w:rsidR="0056188D" w:rsidRPr="00541C93" w:rsidSect="002B5F7E">
      <w:headerReference w:type="default" r:id="rId9"/>
      <w:footerReference w:type="default" r:id="rId10"/>
      <w:pgSz w:w="11909" w:h="16834" w:code="9"/>
      <w:pgMar w:top="1440" w:right="1800" w:bottom="1276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B74A2" w14:textId="77777777" w:rsidR="0044280B" w:rsidRDefault="0044280B" w:rsidP="009E22D0">
      <w:r>
        <w:separator/>
      </w:r>
    </w:p>
  </w:endnote>
  <w:endnote w:type="continuationSeparator" w:id="0">
    <w:p w14:paraId="6F5997FB" w14:textId="77777777" w:rsidR="0044280B" w:rsidRDefault="0044280B" w:rsidP="009E22D0">
      <w:r>
        <w:continuationSeparator/>
      </w:r>
    </w:p>
  </w:endnote>
  <w:endnote w:type="continuationNotice" w:id="1">
    <w:p w14:paraId="397FCCA5" w14:textId="77777777" w:rsidR="0044280B" w:rsidRDefault="00442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480B" w14:textId="77777777" w:rsidR="008A357F" w:rsidRPr="008A357F" w:rsidRDefault="008A357F" w:rsidP="008A357F">
    <w:pPr>
      <w:pBdr>
        <w:bottom w:val="single" w:sz="6" w:space="0" w:color="auto"/>
      </w:pBdr>
      <w:tabs>
        <w:tab w:val="center" w:pos="4513"/>
        <w:tab w:val="right" w:pos="9026"/>
      </w:tabs>
      <w:rPr>
        <w:rFonts w:ascii="Arial" w:eastAsiaTheme="minorHAnsi" w:hAnsi="Arial" w:cs="Arial"/>
        <w:lang w:eastAsia="en-US"/>
      </w:rPr>
    </w:pPr>
  </w:p>
  <w:p w14:paraId="47CD8D5A" w14:textId="36A9C634" w:rsidR="008A357F" w:rsidRPr="008A357F" w:rsidRDefault="008A357F" w:rsidP="00845415">
    <w:pPr>
      <w:tabs>
        <w:tab w:val="center" w:pos="4513"/>
        <w:tab w:val="right" w:pos="9026"/>
      </w:tabs>
      <w:rPr>
        <w:rFonts w:ascii="Arial" w:eastAsiaTheme="minorHAnsi" w:hAnsi="Arial" w:cs="Arial"/>
        <w:sz w:val="16"/>
        <w:lang w:eastAsia="en-US"/>
      </w:rPr>
    </w:pPr>
  </w:p>
  <w:p w14:paraId="33B48379" w14:textId="77777777" w:rsidR="008A357F" w:rsidRPr="008A357F" w:rsidRDefault="008A357F" w:rsidP="008A357F">
    <w:pPr>
      <w:tabs>
        <w:tab w:val="center" w:pos="4513"/>
        <w:tab w:val="right" w:pos="9026"/>
      </w:tabs>
      <w:spacing w:after="200" w:line="276" w:lineRule="auto"/>
    </w:pPr>
  </w:p>
  <w:p w14:paraId="05F71E55" w14:textId="77777777" w:rsidR="008A357F" w:rsidRDefault="008A3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3110" w14:textId="77777777" w:rsidR="0044280B" w:rsidRDefault="0044280B" w:rsidP="009E22D0">
      <w:r>
        <w:separator/>
      </w:r>
    </w:p>
  </w:footnote>
  <w:footnote w:type="continuationSeparator" w:id="0">
    <w:p w14:paraId="3B54ADAC" w14:textId="77777777" w:rsidR="0044280B" w:rsidRDefault="0044280B" w:rsidP="009E22D0">
      <w:r>
        <w:continuationSeparator/>
      </w:r>
    </w:p>
  </w:footnote>
  <w:footnote w:type="continuationNotice" w:id="1">
    <w:p w14:paraId="5F559F7D" w14:textId="77777777" w:rsidR="0044280B" w:rsidRDefault="00442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2981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  <w:color w:val="2B579A"/>
        <w:shd w:val="clear" w:color="auto" w:fill="E6E6E6"/>
      </w:rPr>
      <w:drawing>
        <wp:inline distT="0" distB="0" distL="0" distR="0" wp14:anchorId="5E7C760D" wp14:editId="67C9C3BC">
          <wp:extent cx="1435505" cy="36246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0678FA"/>
    <w:multiLevelType w:val="hybridMultilevel"/>
    <w:tmpl w:val="C368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22787"/>
    <w:multiLevelType w:val="hybridMultilevel"/>
    <w:tmpl w:val="4F608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B0D"/>
    <w:multiLevelType w:val="hybridMultilevel"/>
    <w:tmpl w:val="B5D41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067C6"/>
    <w:multiLevelType w:val="hybridMultilevel"/>
    <w:tmpl w:val="E72CF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245EB3"/>
    <w:multiLevelType w:val="hybridMultilevel"/>
    <w:tmpl w:val="99AA7E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1D2CF"/>
    <w:multiLevelType w:val="hybridMultilevel"/>
    <w:tmpl w:val="E584782E"/>
    <w:lvl w:ilvl="0" w:tplc="03AAE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985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EA54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AE2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F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3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68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C0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AA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A5D"/>
    <w:multiLevelType w:val="hybridMultilevel"/>
    <w:tmpl w:val="BD887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802"/>
    <w:multiLevelType w:val="hybridMultilevel"/>
    <w:tmpl w:val="7E9E0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2112A"/>
    <w:multiLevelType w:val="hybridMultilevel"/>
    <w:tmpl w:val="A5CAC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57E0A"/>
    <w:multiLevelType w:val="hybridMultilevel"/>
    <w:tmpl w:val="E844F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036C1"/>
    <w:multiLevelType w:val="hybridMultilevel"/>
    <w:tmpl w:val="7E74B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9BE75"/>
    <w:multiLevelType w:val="hybridMultilevel"/>
    <w:tmpl w:val="3A148B22"/>
    <w:lvl w:ilvl="0" w:tplc="FD08D8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6C3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CC0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AE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C0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84F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47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CE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CB2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35684"/>
    <w:multiLevelType w:val="hybridMultilevel"/>
    <w:tmpl w:val="A4106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26A88"/>
    <w:multiLevelType w:val="multilevel"/>
    <w:tmpl w:val="5E88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206141">
    <w:abstractNumId w:val="19"/>
  </w:num>
  <w:num w:numId="2" w16cid:durableId="1346832085">
    <w:abstractNumId w:val="8"/>
  </w:num>
  <w:num w:numId="3" w16cid:durableId="1596087422">
    <w:abstractNumId w:val="12"/>
  </w:num>
  <w:num w:numId="4" w16cid:durableId="533157444">
    <w:abstractNumId w:val="0"/>
  </w:num>
  <w:num w:numId="5" w16cid:durableId="1441296412">
    <w:abstractNumId w:val="10"/>
  </w:num>
  <w:num w:numId="6" w16cid:durableId="221336765">
    <w:abstractNumId w:val="9"/>
  </w:num>
  <w:num w:numId="7" w16cid:durableId="643045729">
    <w:abstractNumId w:val="11"/>
  </w:num>
  <w:num w:numId="8" w16cid:durableId="559679800">
    <w:abstractNumId w:val="2"/>
  </w:num>
  <w:num w:numId="9" w16cid:durableId="1067387294">
    <w:abstractNumId w:val="13"/>
  </w:num>
  <w:num w:numId="10" w16cid:durableId="886069249">
    <w:abstractNumId w:val="20"/>
  </w:num>
  <w:num w:numId="11" w16cid:durableId="1559247429">
    <w:abstractNumId w:val="23"/>
  </w:num>
  <w:num w:numId="12" w16cid:durableId="1518344655">
    <w:abstractNumId w:val="16"/>
  </w:num>
  <w:num w:numId="13" w16cid:durableId="2064788846">
    <w:abstractNumId w:val="6"/>
  </w:num>
  <w:num w:numId="14" w16cid:durableId="1433280948">
    <w:abstractNumId w:val="17"/>
  </w:num>
  <w:num w:numId="15" w16cid:durableId="96870939">
    <w:abstractNumId w:val="1"/>
  </w:num>
  <w:num w:numId="16" w16cid:durableId="361325124">
    <w:abstractNumId w:val="14"/>
  </w:num>
  <w:num w:numId="17" w16cid:durableId="786778205">
    <w:abstractNumId w:val="21"/>
  </w:num>
  <w:num w:numId="18" w16cid:durableId="2084372924">
    <w:abstractNumId w:val="5"/>
  </w:num>
  <w:num w:numId="19" w16cid:durableId="459881295">
    <w:abstractNumId w:val="15"/>
  </w:num>
  <w:num w:numId="20" w16cid:durableId="53244086">
    <w:abstractNumId w:val="3"/>
  </w:num>
  <w:num w:numId="21" w16cid:durableId="2006785638">
    <w:abstractNumId w:val="22"/>
  </w:num>
  <w:num w:numId="22" w16cid:durableId="1223365814">
    <w:abstractNumId w:val="4"/>
  </w:num>
  <w:num w:numId="23" w16cid:durableId="518154762">
    <w:abstractNumId w:val="18"/>
  </w:num>
  <w:num w:numId="24" w16cid:durableId="13065497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D0"/>
    <w:rsid w:val="00013E2F"/>
    <w:rsid w:val="00051EAF"/>
    <w:rsid w:val="00055A66"/>
    <w:rsid w:val="00060750"/>
    <w:rsid w:val="000660EC"/>
    <w:rsid w:val="000708C4"/>
    <w:rsid w:val="00082F60"/>
    <w:rsid w:val="00093394"/>
    <w:rsid w:val="000A53DF"/>
    <w:rsid w:val="000A7C0A"/>
    <w:rsid w:val="000C02DE"/>
    <w:rsid w:val="000E4361"/>
    <w:rsid w:val="00107A2F"/>
    <w:rsid w:val="00112805"/>
    <w:rsid w:val="00123F84"/>
    <w:rsid w:val="001509D4"/>
    <w:rsid w:val="00156646"/>
    <w:rsid w:val="00165EFC"/>
    <w:rsid w:val="00171678"/>
    <w:rsid w:val="0017454C"/>
    <w:rsid w:val="001B0BB7"/>
    <w:rsid w:val="001B3D0A"/>
    <w:rsid w:val="001C33E8"/>
    <w:rsid w:val="001C3BE8"/>
    <w:rsid w:val="001D3963"/>
    <w:rsid w:val="00205257"/>
    <w:rsid w:val="002348C0"/>
    <w:rsid w:val="00252222"/>
    <w:rsid w:val="002A11ED"/>
    <w:rsid w:val="002A13D7"/>
    <w:rsid w:val="002A3949"/>
    <w:rsid w:val="002A65F3"/>
    <w:rsid w:val="002B47FA"/>
    <w:rsid w:val="002B557F"/>
    <w:rsid w:val="002B5F7E"/>
    <w:rsid w:val="002C37DD"/>
    <w:rsid w:val="002C7907"/>
    <w:rsid w:val="002E4F4F"/>
    <w:rsid w:val="00303944"/>
    <w:rsid w:val="00316E60"/>
    <w:rsid w:val="00327612"/>
    <w:rsid w:val="003331BE"/>
    <w:rsid w:val="003347A1"/>
    <w:rsid w:val="00340323"/>
    <w:rsid w:val="003419D1"/>
    <w:rsid w:val="00352DB6"/>
    <w:rsid w:val="00360CE5"/>
    <w:rsid w:val="003702D5"/>
    <w:rsid w:val="0038578C"/>
    <w:rsid w:val="003974C0"/>
    <w:rsid w:val="003A11E6"/>
    <w:rsid w:val="003C0E67"/>
    <w:rsid w:val="003C114D"/>
    <w:rsid w:val="003C62C5"/>
    <w:rsid w:val="003E24FB"/>
    <w:rsid w:val="003E46D0"/>
    <w:rsid w:val="003F0076"/>
    <w:rsid w:val="003F0564"/>
    <w:rsid w:val="003F6E4F"/>
    <w:rsid w:val="0041489F"/>
    <w:rsid w:val="004426AE"/>
    <w:rsid w:val="0044280B"/>
    <w:rsid w:val="0044736D"/>
    <w:rsid w:val="00463404"/>
    <w:rsid w:val="00463804"/>
    <w:rsid w:val="00463F18"/>
    <w:rsid w:val="00481C47"/>
    <w:rsid w:val="00481EEF"/>
    <w:rsid w:val="004B10B1"/>
    <w:rsid w:val="004B3EF8"/>
    <w:rsid w:val="004B4363"/>
    <w:rsid w:val="004D18E8"/>
    <w:rsid w:val="004D6C28"/>
    <w:rsid w:val="004D7C7C"/>
    <w:rsid w:val="004F06E6"/>
    <w:rsid w:val="004F24F3"/>
    <w:rsid w:val="00520900"/>
    <w:rsid w:val="00522072"/>
    <w:rsid w:val="00541C93"/>
    <w:rsid w:val="00543CE1"/>
    <w:rsid w:val="00545C3D"/>
    <w:rsid w:val="005542D1"/>
    <w:rsid w:val="0056188D"/>
    <w:rsid w:val="0056424E"/>
    <w:rsid w:val="00566C63"/>
    <w:rsid w:val="00577153"/>
    <w:rsid w:val="005A1872"/>
    <w:rsid w:val="005B4C48"/>
    <w:rsid w:val="005C10C4"/>
    <w:rsid w:val="005C4409"/>
    <w:rsid w:val="005F73A8"/>
    <w:rsid w:val="005F7B73"/>
    <w:rsid w:val="0060278E"/>
    <w:rsid w:val="006030F2"/>
    <w:rsid w:val="006219B1"/>
    <w:rsid w:val="006234D7"/>
    <w:rsid w:val="00632434"/>
    <w:rsid w:val="00656FB9"/>
    <w:rsid w:val="00666EB3"/>
    <w:rsid w:val="00676383"/>
    <w:rsid w:val="006773E0"/>
    <w:rsid w:val="00692A73"/>
    <w:rsid w:val="006B145E"/>
    <w:rsid w:val="006B2058"/>
    <w:rsid w:val="006B56DB"/>
    <w:rsid w:val="006E0355"/>
    <w:rsid w:val="006E5E88"/>
    <w:rsid w:val="006F3056"/>
    <w:rsid w:val="006F4396"/>
    <w:rsid w:val="006F4B13"/>
    <w:rsid w:val="00705168"/>
    <w:rsid w:val="00711E46"/>
    <w:rsid w:val="00717094"/>
    <w:rsid w:val="007170CA"/>
    <w:rsid w:val="00724AD7"/>
    <w:rsid w:val="00726E7B"/>
    <w:rsid w:val="00732D91"/>
    <w:rsid w:val="007351E0"/>
    <w:rsid w:val="0074377F"/>
    <w:rsid w:val="00751838"/>
    <w:rsid w:val="0076477D"/>
    <w:rsid w:val="00782565"/>
    <w:rsid w:val="00783360"/>
    <w:rsid w:val="007837D9"/>
    <w:rsid w:val="00792C8D"/>
    <w:rsid w:val="007D1F00"/>
    <w:rsid w:val="007D427C"/>
    <w:rsid w:val="007E7CA1"/>
    <w:rsid w:val="007F2CAA"/>
    <w:rsid w:val="007F41E7"/>
    <w:rsid w:val="008000EB"/>
    <w:rsid w:val="008052C4"/>
    <w:rsid w:val="00813AEB"/>
    <w:rsid w:val="008179BF"/>
    <w:rsid w:val="008268C4"/>
    <w:rsid w:val="00845415"/>
    <w:rsid w:val="00850672"/>
    <w:rsid w:val="00853742"/>
    <w:rsid w:val="0086676E"/>
    <w:rsid w:val="00874582"/>
    <w:rsid w:val="008A357F"/>
    <w:rsid w:val="008E0837"/>
    <w:rsid w:val="008F48E1"/>
    <w:rsid w:val="008F5569"/>
    <w:rsid w:val="008F5679"/>
    <w:rsid w:val="008F70FE"/>
    <w:rsid w:val="009021A7"/>
    <w:rsid w:val="009053F9"/>
    <w:rsid w:val="00930195"/>
    <w:rsid w:val="00947A16"/>
    <w:rsid w:val="00952567"/>
    <w:rsid w:val="0097616B"/>
    <w:rsid w:val="00993FF2"/>
    <w:rsid w:val="009B3C71"/>
    <w:rsid w:val="009B6C18"/>
    <w:rsid w:val="009C4A6A"/>
    <w:rsid w:val="009C4E40"/>
    <w:rsid w:val="009D08BA"/>
    <w:rsid w:val="009E22D0"/>
    <w:rsid w:val="009F1178"/>
    <w:rsid w:val="009F7E45"/>
    <w:rsid w:val="00A019D9"/>
    <w:rsid w:val="00A31145"/>
    <w:rsid w:val="00A4414A"/>
    <w:rsid w:val="00A45475"/>
    <w:rsid w:val="00A569B3"/>
    <w:rsid w:val="00A678CD"/>
    <w:rsid w:val="00A72C5F"/>
    <w:rsid w:val="00A8412E"/>
    <w:rsid w:val="00A86319"/>
    <w:rsid w:val="00AA3604"/>
    <w:rsid w:val="00AA450E"/>
    <w:rsid w:val="00AB6F90"/>
    <w:rsid w:val="00AC2D53"/>
    <w:rsid w:val="00AD0131"/>
    <w:rsid w:val="00AD1338"/>
    <w:rsid w:val="00AE2CB9"/>
    <w:rsid w:val="00AE7E31"/>
    <w:rsid w:val="00AF52D6"/>
    <w:rsid w:val="00B00BEA"/>
    <w:rsid w:val="00B05CE6"/>
    <w:rsid w:val="00B17C2D"/>
    <w:rsid w:val="00B17CE0"/>
    <w:rsid w:val="00B455DF"/>
    <w:rsid w:val="00B75089"/>
    <w:rsid w:val="00B9077E"/>
    <w:rsid w:val="00BA4792"/>
    <w:rsid w:val="00BC2212"/>
    <w:rsid w:val="00BC4DD9"/>
    <w:rsid w:val="00BC6991"/>
    <w:rsid w:val="00C164CC"/>
    <w:rsid w:val="00C306FF"/>
    <w:rsid w:val="00C51CB2"/>
    <w:rsid w:val="00C5592E"/>
    <w:rsid w:val="00C619B1"/>
    <w:rsid w:val="00C87A8C"/>
    <w:rsid w:val="00C91CFA"/>
    <w:rsid w:val="00C97462"/>
    <w:rsid w:val="00CA3001"/>
    <w:rsid w:val="00CB2F3C"/>
    <w:rsid w:val="00CC146A"/>
    <w:rsid w:val="00CD07D4"/>
    <w:rsid w:val="00CF259B"/>
    <w:rsid w:val="00D0279B"/>
    <w:rsid w:val="00D13A12"/>
    <w:rsid w:val="00D315A4"/>
    <w:rsid w:val="00D40D33"/>
    <w:rsid w:val="00D43BE3"/>
    <w:rsid w:val="00D46FE4"/>
    <w:rsid w:val="00D70062"/>
    <w:rsid w:val="00D74AF8"/>
    <w:rsid w:val="00D81F11"/>
    <w:rsid w:val="00D87506"/>
    <w:rsid w:val="00D94B5D"/>
    <w:rsid w:val="00DA2024"/>
    <w:rsid w:val="00DB1760"/>
    <w:rsid w:val="00DD2D2B"/>
    <w:rsid w:val="00DE627F"/>
    <w:rsid w:val="00E069DF"/>
    <w:rsid w:val="00E154EF"/>
    <w:rsid w:val="00E314F6"/>
    <w:rsid w:val="00E32FB2"/>
    <w:rsid w:val="00E40940"/>
    <w:rsid w:val="00E40AC5"/>
    <w:rsid w:val="00E529CD"/>
    <w:rsid w:val="00E558FD"/>
    <w:rsid w:val="00E567E5"/>
    <w:rsid w:val="00E7725E"/>
    <w:rsid w:val="00E82547"/>
    <w:rsid w:val="00EA3D08"/>
    <w:rsid w:val="00EE0C91"/>
    <w:rsid w:val="00EE33E0"/>
    <w:rsid w:val="00EE69AD"/>
    <w:rsid w:val="00F05C65"/>
    <w:rsid w:val="00F1654F"/>
    <w:rsid w:val="00F21502"/>
    <w:rsid w:val="00F247DB"/>
    <w:rsid w:val="00F26750"/>
    <w:rsid w:val="00F34D51"/>
    <w:rsid w:val="00F4143F"/>
    <w:rsid w:val="00F52149"/>
    <w:rsid w:val="00F5319A"/>
    <w:rsid w:val="00F85189"/>
    <w:rsid w:val="00F85670"/>
    <w:rsid w:val="00FA31FE"/>
    <w:rsid w:val="00FA45F4"/>
    <w:rsid w:val="00FB4711"/>
    <w:rsid w:val="00FB64FE"/>
    <w:rsid w:val="00FC200B"/>
    <w:rsid w:val="00FC4081"/>
    <w:rsid w:val="00FC67DF"/>
    <w:rsid w:val="00FE0F3D"/>
    <w:rsid w:val="00FF16B8"/>
    <w:rsid w:val="00FF2E68"/>
    <w:rsid w:val="00FF67B0"/>
    <w:rsid w:val="020110E3"/>
    <w:rsid w:val="0273DB82"/>
    <w:rsid w:val="02E8CEAD"/>
    <w:rsid w:val="035FB0EF"/>
    <w:rsid w:val="048DE83C"/>
    <w:rsid w:val="05E5E804"/>
    <w:rsid w:val="064D5DCD"/>
    <w:rsid w:val="06E4352B"/>
    <w:rsid w:val="07B9549A"/>
    <w:rsid w:val="08FABDD6"/>
    <w:rsid w:val="0A8E1BAA"/>
    <w:rsid w:val="0B14B3B9"/>
    <w:rsid w:val="0B499509"/>
    <w:rsid w:val="0B8EA82F"/>
    <w:rsid w:val="0B98930D"/>
    <w:rsid w:val="0BA88AA4"/>
    <w:rsid w:val="0E2E354B"/>
    <w:rsid w:val="0E300E28"/>
    <w:rsid w:val="0F66C2A1"/>
    <w:rsid w:val="10279F9F"/>
    <w:rsid w:val="10AA0599"/>
    <w:rsid w:val="1143417D"/>
    <w:rsid w:val="120938B4"/>
    <w:rsid w:val="13560C1E"/>
    <w:rsid w:val="13CFF252"/>
    <w:rsid w:val="13E3A473"/>
    <w:rsid w:val="1431297B"/>
    <w:rsid w:val="14F57EE7"/>
    <w:rsid w:val="1575248F"/>
    <w:rsid w:val="15DD3DDB"/>
    <w:rsid w:val="175A9D6F"/>
    <w:rsid w:val="178155CA"/>
    <w:rsid w:val="17AE3949"/>
    <w:rsid w:val="1923E072"/>
    <w:rsid w:val="19E91AF8"/>
    <w:rsid w:val="19EDAE8D"/>
    <w:rsid w:val="1A9FCE2F"/>
    <w:rsid w:val="1C64AC23"/>
    <w:rsid w:val="1D1D9234"/>
    <w:rsid w:val="1DA53773"/>
    <w:rsid w:val="1E5441F1"/>
    <w:rsid w:val="1E8AD2D9"/>
    <w:rsid w:val="1EE470BC"/>
    <w:rsid w:val="1EE723B3"/>
    <w:rsid w:val="1F1155F2"/>
    <w:rsid w:val="1FC5CF4D"/>
    <w:rsid w:val="2026A33A"/>
    <w:rsid w:val="204FD2F6"/>
    <w:rsid w:val="207A3AF0"/>
    <w:rsid w:val="223D8497"/>
    <w:rsid w:val="236ED866"/>
    <w:rsid w:val="250AA8C7"/>
    <w:rsid w:val="25838A64"/>
    <w:rsid w:val="258C5E8D"/>
    <w:rsid w:val="25B0AC64"/>
    <w:rsid w:val="26726DCC"/>
    <w:rsid w:val="2693756B"/>
    <w:rsid w:val="2831B51F"/>
    <w:rsid w:val="28424989"/>
    <w:rsid w:val="28663EEA"/>
    <w:rsid w:val="29156A9F"/>
    <w:rsid w:val="2BD7B770"/>
    <w:rsid w:val="2C697624"/>
    <w:rsid w:val="2CEF58DF"/>
    <w:rsid w:val="2D19497B"/>
    <w:rsid w:val="2EE155AE"/>
    <w:rsid w:val="313CB4DA"/>
    <w:rsid w:val="31791653"/>
    <w:rsid w:val="346646EC"/>
    <w:rsid w:val="34678836"/>
    <w:rsid w:val="347B0AD6"/>
    <w:rsid w:val="3480BB9E"/>
    <w:rsid w:val="34AFDCA7"/>
    <w:rsid w:val="35E09861"/>
    <w:rsid w:val="380928A5"/>
    <w:rsid w:val="384FC66F"/>
    <w:rsid w:val="393307E9"/>
    <w:rsid w:val="39EB96D0"/>
    <w:rsid w:val="3AC920F1"/>
    <w:rsid w:val="3ACED84A"/>
    <w:rsid w:val="3E3A8EC4"/>
    <w:rsid w:val="3EF2AE41"/>
    <w:rsid w:val="3EF604E5"/>
    <w:rsid w:val="3F9B829A"/>
    <w:rsid w:val="3FAE2EB3"/>
    <w:rsid w:val="3FCC0D06"/>
    <w:rsid w:val="41D49798"/>
    <w:rsid w:val="4258AD35"/>
    <w:rsid w:val="42736CF4"/>
    <w:rsid w:val="436878D6"/>
    <w:rsid w:val="44F1BE61"/>
    <w:rsid w:val="476E041E"/>
    <w:rsid w:val="47A4E84B"/>
    <w:rsid w:val="48109872"/>
    <w:rsid w:val="48BBF465"/>
    <w:rsid w:val="490FB69A"/>
    <w:rsid w:val="4A28F148"/>
    <w:rsid w:val="4AA473B2"/>
    <w:rsid w:val="4BE4A44D"/>
    <w:rsid w:val="4C36CDCA"/>
    <w:rsid w:val="4DC285CE"/>
    <w:rsid w:val="4E549AF4"/>
    <w:rsid w:val="4EBD042F"/>
    <w:rsid w:val="4ED56DD7"/>
    <w:rsid w:val="4F031CB2"/>
    <w:rsid w:val="4FEC7DE1"/>
    <w:rsid w:val="507E23C2"/>
    <w:rsid w:val="509EED13"/>
    <w:rsid w:val="5168750B"/>
    <w:rsid w:val="52B57EBE"/>
    <w:rsid w:val="542715E8"/>
    <w:rsid w:val="54309FC7"/>
    <w:rsid w:val="54833776"/>
    <w:rsid w:val="54DD7DE0"/>
    <w:rsid w:val="54EE6B92"/>
    <w:rsid w:val="555D6A0E"/>
    <w:rsid w:val="56392A59"/>
    <w:rsid w:val="567F4986"/>
    <w:rsid w:val="57E18491"/>
    <w:rsid w:val="58777BD7"/>
    <w:rsid w:val="58A1B16B"/>
    <w:rsid w:val="58AC92FD"/>
    <w:rsid w:val="591DEDFF"/>
    <w:rsid w:val="5A45CF59"/>
    <w:rsid w:val="5A7125E3"/>
    <w:rsid w:val="5ADF510C"/>
    <w:rsid w:val="5B64DFD4"/>
    <w:rsid w:val="5B7A8E5A"/>
    <w:rsid w:val="5BCEE335"/>
    <w:rsid w:val="5BF645E1"/>
    <w:rsid w:val="5DA84F21"/>
    <w:rsid w:val="5E0383B1"/>
    <w:rsid w:val="5F895F07"/>
    <w:rsid w:val="5FE14B8B"/>
    <w:rsid w:val="604A25D5"/>
    <w:rsid w:val="60ACE203"/>
    <w:rsid w:val="616751B3"/>
    <w:rsid w:val="618CAF55"/>
    <w:rsid w:val="6220FC86"/>
    <w:rsid w:val="6248B264"/>
    <w:rsid w:val="62A83918"/>
    <w:rsid w:val="665C624F"/>
    <w:rsid w:val="66B952AB"/>
    <w:rsid w:val="66E18E51"/>
    <w:rsid w:val="670BC732"/>
    <w:rsid w:val="692674AE"/>
    <w:rsid w:val="69FE5BD1"/>
    <w:rsid w:val="69FF35C9"/>
    <w:rsid w:val="6A70AC6E"/>
    <w:rsid w:val="6AF80A07"/>
    <w:rsid w:val="6C0015B1"/>
    <w:rsid w:val="6D152B8F"/>
    <w:rsid w:val="6E7EE927"/>
    <w:rsid w:val="6EF4D936"/>
    <w:rsid w:val="6F31C3BC"/>
    <w:rsid w:val="6F843546"/>
    <w:rsid w:val="6FD49CB4"/>
    <w:rsid w:val="70CF3962"/>
    <w:rsid w:val="723E22F2"/>
    <w:rsid w:val="726B09C3"/>
    <w:rsid w:val="74D62F16"/>
    <w:rsid w:val="75973B4B"/>
    <w:rsid w:val="764F3836"/>
    <w:rsid w:val="7700ABE1"/>
    <w:rsid w:val="78B9266F"/>
    <w:rsid w:val="798DFDB1"/>
    <w:rsid w:val="7A95823F"/>
    <w:rsid w:val="7AA2CE2F"/>
    <w:rsid w:val="7AF45D5A"/>
    <w:rsid w:val="7CA1F584"/>
    <w:rsid w:val="7CE0530A"/>
    <w:rsid w:val="7D6672B5"/>
    <w:rsid w:val="7E63C88A"/>
    <w:rsid w:val="7EE12F62"/>
    <w:rsid w:val="7F506A64"/>
    <w:rsid w:val="7FD5C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2C334"/>
  <w15:docId w15:val="{EF5FA82E-39DA-4F73-9C0F-BB61D41F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2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4F3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4F3"/>
    <w:rPr>
      <w:rFonts w:ascii="Calibri" w:hAnsi="Calibri"/>
      <w:b/>
      <w:bCs/>
    </w:rPr>
  </w:style>
  <w:style w:type="paragraph" w:styleId="Revision">
    <w:name w:val="Revision"/>
    <w:hidden/>
    <w:uiPriority w:val="99"/>
    <w:semiHidden/>
    <w:rsid w:val="00952567"/>
    <w:rPr>
      <w:rFonts w:ascii="Calibri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CB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832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10851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9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8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08908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20899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confidential" value=""/>
</sisl>
</file>

<file path=customXml/itemProps1.xml><?xml version="1.0" encoding="utf-8"?>
<ds:datastoreItem xmlns:ds="http://schemas.openxmlformats.org/officeDocument/2006/customXml" ds:itemID="{2464E69E-B216-425C-BCC7-8DA2CD271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8DE90-3414-4105-90F3-16AE33A5B12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1357</Words>
  <Characters>8420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Nadine</dc:creator>
  <cp:keywords/>
  <dc:description>MPS Confidential</dc:description>
  <cp:lastModifiedBy>Beth Fisher</cp:lastModifiedBy>
  <cp:revision>2</cp:revision>
  <dcterms:created xsi:type="dcterms:W3CDTF">2023-06-19T15:54:00Z</dcterms:created>
  <dcterms:modified xsi:type="dcterms:W3CDTF">2023-06-19T15:54:00Z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77898488-7f79-4b16-a116-610d8afaa459</vt:lpwstr>
  </property>
  <property fmtid="{D5CDD505-2E9C-101B-9397-08002B2CF9AE}" pid="3" name="bjSaver">
    <vt:lpwstr>Iyi2XAjFQxsXLJTrdfbd50BQAmr2mN7G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5" name="bjDocumentLabelXML-0">
    <vt:lpwstr>ames.com/2008/01/sie/internal/label"&gt;&lt;element uid="id_classification_confidential" value="" /&gt;&lt;/sisl&gt;</vt:lpwstr>
  </property>
  <property fmtid="{D5CDD505-2E9C-101B-9397-08002B2CF9AE}" pid="6" name="bjDocumentSecurityLabel">
    <vt:lpwstr>MPS Confidential</vt:lpwstr>
  </property>
  <property fmtid="{D5CDD505-2E9C-101B-9397-08002B2CF9AE}" pid="7" name="MPSClassification:">
    <vt:lpwstr>MPS Confidential</vt:lpwstr>
  </property>
</Properties>
</file>