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63549ACA"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Team Lead</w:t>
            </w:r>
            <w:r w:rsidR="00EE6C55">
              <w:rPr>
                <w:rFonts w:ascii="Arial" w:hAnsi="Arial" w:cs="Arial"/>
                <w:sz w:val="20"/>
                <w:szCs w:val="20"/>
              </w:rPr>
              <w:t xml:space="preserve"> (Operational)</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6FF88E7F" w:rsidR="00F5319A" w:rsidRPr="00B75089" w:rsidRDefault="00F944B0" w:rsidP="00B75089">
            <w:pPr>
              <w:pStyle w:val="Header"/>
              <w:spacing w:after="0"/>
              <w:jc w:val="both"/>
              <w:rPr>
                <w:rFonts w:ascii="Arial" w:hAnsi="Arial" w:cs="Arial"/>
                <w:sz w:val="20"/>
                <w:szCs w:val="20"/>
              </w:rPr>
            </w:pPr>
            <w:r w:rsidRPr="00F944B0">
              <w:rPr>
                <w:rFonts w:ascii="Arial" w:hAnsi="Arial" w:cs="Arial"/>
                <w:sz w:val="20"/>
                <w:szCs w:val="20"/>
              </w:rPr>
              <w:t>Operations</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21EFDDA9" w14:textId="5F67F2B0" w:rsidR="002E130A" w:rsidRPr="00B75089" w:rsidRDefault="003C5777" w:rsidP="00B75089">
            <w:pPr>
              <w:pStyle w:val="Header"/>
              <w:spacing w:after="0"/>
              <w:jc w:val="both"/>
              <w:rPr>
                <w:rFonts w:ascii="Arial" w:hAnsi="Arial" w:cs="Arial"/>
                <w:sz w:val="20"/>
                <w:szCs w:val="20"/>
              </w:rPr>
            </w:pPr>
            <w:r>
              <w:rPr>
                <w:rFonts w:ascii="Arial" w:hAnsi="Arial" w:cs="Arial"/>
                <w:sz w:val="20"/>
                <w:szCs w:val="20"/>
              </w:rPr>
              <w:t>Operations International</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246A3C8A" w:rsidR="00DB1E98" w:rsidRPr="00B75089" w:rsidRDefault="002E130A" w:rsidP="00DB1E98">
            <w:pPr>
              <w:pStyle w:val="Header"/>
              <w:spacing w:after="0"/>
              <w:jc w:val="both"/>
              <w:rPr>
                <w:rFonts w:ascii="Arial" w:hAnsi="Arial" w:cs="Arial"/>
                <w:sz w:val="20"/>
                <w:szCs w:val="20"/>
              </w:rPr>
            </w:pPr>
            <w:r w:rsidRPr="005C0371">
              <w:rPr>
                <w:rFonts w:ascii="Arial" w:hAnsi="Arial" w:cs="Arial"/>
                <w:sz w:val="20"/>
                <w:szCs w:val="20"/>
              </w:rPr>
              <w:t>UK/Asia/Cbn/RoW Claims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2A7D1302"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r w:rsidR="002E130A">
              <w:rPr>
                <w:rFonts w:ascii="Arial" w:hAnsi="Arial" w:cs="Arial"/>
                <w:sz w:val="20"/>
                <w:szCs w:val="20"/>
              </w:rPr>
              <w:t>2</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614B3456"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26338F1F" w:rsidR="00AB3368" w:rsidRDefault="00E70610" w:rsidP="00C46F89">
                  <w:pPr>
                    <w:pStyle w:val="Default"/>
                    <w:rPr>
                      <w:sz w:val="22"/>
                      <w:szCs w:val="22"/>
                    </w:rPr>
                  </w:pPr>
                  <w:r>
                    <w:rPr>
                      <w:sz w:val="20"/>
                      <w:szCs w:val="20"/>
                    </w:rPr>
                    <w:t xml:space="preserve">The </w:t>
                  </w:r>
                  <w:r w:rsidR="00F944B0">
                    <w:rPr>
                      <w:sz w:val="20"/>
                      <w:szCs w:val="20"/>
                    </w:rPr>
                    <w:t xml:space="preserve">Operations </w:t>
                  </w:r>
                  <w:r w:rsidR="001E3CE9" w:rsidRPr="00276B46">
                    <w:rPr>
                      <w:sz w:val="20"/>
                      <w:szCs w:val="20"/>
                    </w:rPr>
                    <w:t>Division is at the forefront of protecting the careers, reputation and financial risk of our members worldwide. The purpose of the role</w:t>
                  </w:r>
                  <w:r w:rsidR="001E3CE9">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sidR="001E3CE9">
                    <w:rPr>
                      <w:sz w:val="20"/>
                      <w:szCs w:val="20"/>
                    </w:rPr>
                    <w:t>c</w:t>
                  </w:r>
                  <w:r w:rsidR="00C87A88">
                    <w:rPr>
                      <w:sz w:val="20"/>
                      <w:szCs w:val="20"/>
                    </w:rPr>
                    <w:t xml:space="preserve">laims </w:t>
                  </w:r>
                  <w:r w:rsidR="001E3CE9">
                    <w:rPr>
                      <w:sz w:val="20"/>
                      <w:szCs w:val="20"/>
                    </w:rPr>
                    <w:t xml:space="preserve">handling service for members which is </w:t>
                  </w:r>
                  <w:r w:rsidR="001E3CE9" w:rsidRPr="003257BD">
                    <w:rPr>
                      <w:sz w:val="20"/>
                      <w:szCs w:val="20"/>
                    </w:rPr>
                    <w:t>trusted</w:t>
                  </w:r>
                  <w:r w:rsidR="001E3CE9">
                    <w:rPr>
                      <w:sz w:val="20"/>
                      <w:szCs w:val="20"/>
                    </w:rPr>
                    <w:t xml:space="preserve"> and</w:t>
                  </w:r>
                  <w:r w:rsidR="001E3CE9" w:rsidRPr="003257BD">
                    <w:rPr>
                      <w:sz w:val="20"/>
                      <w:szCs w:val="20"/>
                    </w:rPr>
                    <w:t xml:space="preserve"> valued </w:t>
                  </w:r>
                  <w:r w:rsidR="001E3CE9">
                    <w:rPr>
                      <w:sz w:val="20"/>
                      <w:szCs w:val="20"/>
                    </w:rPr>
                    <w:t>and provides</w:t>
                  </w:r>
                  <w:r w:rsidR="001E3CE9" w:rsidRPr="003257BD">
                    <w:rPr>
                      <w:sz w:val="20"/>
                      <w:szCs w:val="20"/>
                    </w:rPr>
                    <w:t xml:space="preserve"> fair trea</w:t>
                  </w:r>
                  <w:r w:rsidR="001E3CE9">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0"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0"/>
          <w:p w14:paraId="04E70B48" w14:textId="4EFF8B51"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w:t>
            </w:r>
            <w:r w:rsidR="002E130A">
              <w:rPr>
                <w:rFonts w:ascii="Arial" w:hAnsi="Arial" w:cs="Arial"/>
                <w:sz w:val="20"/>
                <w:szCs w:val="20"/>
              </w:rPr>
              <w:t xml:space="preserve"> through </w:t>
            </w:r>
            <w:r w:rsidR="002E130A" w:rsidRPr="005C0371">
              <w:rPr>
                <w:rFonts w:ascii="Arial" w:hAnsi="Arial" w:cs="Arial"/>
                <w:sz w:val="20"/>
                <w:szCs w:val="20"/>
              </w:rPr>
              <w:t>ensuring strategies and case plans are in place</w:t>
            </w:r>
            <w:r w:rsidR="002E130A">
              <w:rPr>
                <w:rFonts w:ascii="Arial" w:hAnsi="Arial" w:cs="Arial"/>
                <w:sz w:val="20"/>
                <w:szCs w:val="20"/>
              </w:rPr>
              <w:t>,</w:t>
            </w:r>
            <w:r w:rsidRPr="00443039">
              <w:rPr>
                <w:rFonts w:ascii="Arial" w:hAnsi="Arial" w:cs="Arial"/>
                <w:sz w:val="20"/>
                <w:szCs w:val="20"/>
              </w:rPr>
              <w:t xml:space="preserve">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404145C0"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37E3163B" w:rsidR="00693299" w:rsidRPr="00D564D2" w:rsidRDefault="00826BF3"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Always deliver</w:t>
            </w:r>
            <w:r w:rsidR="005739E5" w:rsidRPr="00D564D2">
              <w:rPr>
                <w:rFonts w:ascii="Arial" w:hAnsi="Arial" w:cs="Arial"/>
                <w:sz w:val="20"/>
                <w:szCs w:val="20"/>
              </w:rPr>
              <w:t xml:space="preserve"> </w:t>
            </w:r>
            <w:r w:rsidR="002E130A">
              <w:rPr>
                <w:rFonts w:ascii="Arial" w:hAnsi="Arial" w:cs="Arial"/>
                <w:sz w:val="20"/>
                <w:szCs w:val="20"/>
              </w:rPr>
              <w:t>good</w:t>
            </w:r>
            <w:r w:rsidR="005739E5" w:rsidRPr="00D564D2">
              <w:rPr>
                <w:rFonts w:ascii="Arial" w:hAnsi="Arial" w:cs="Arial"/>
                <w:sz w:val="20"/>
                <w:szCs w:val="20"/>
              </w:rPr>
              <w:t xml:space="preserve">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5E6FC5BD" w14:textId="158B68E8" w:rsidR="00EA741C" w:rsidRPr="00826BF3"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As own competence develops</w:t>
            </w:r>
            <w:r w:rsidR="002E130A">
              <w:rPr>
                <w:rFonts w:ascii="Arial" w:hAnsi="Arial" w:cs="Arial"/>
                <w:sz w:val="20"/>
                <w:szCs w:val="20"/>
              </w:rPr>
              <w:t>, coach, mentor and</w:t>
            </w:r>
            <w:r w:rsidR="00826BF3">
              <w:rPr>
                <w:rFonts w:ascii="Arial" w:hAnsi="Arial" w:cs="Arial"/>
                <w:sz w:val="20"/>
                <w:szCs w:val="20"/>
              </w:rPr>
              <w:t xml:space="preserve"> </w:t>
            </w:r>
            <w:r w:rsidRPr="00BD233E">
              <w:rPr>
                <w:rFonts w:ascii="Arial" w:hAnsi="Arial" w:cs="Arial"/>
                <w:sz w:val="20"/>
                <w:szCs w:val="20"/>
              </w:rPr>
              <w:t xml:space="preserve">actively share learnings, </w:t>
            </w:r>
            <w:r w:rsidRPr="00D56AA4">
              <w:rPr>
                <w:rFonts w:ascii="Arial" w:hAnsi="Arial" w:cs="Arial"/>
                <w:sz w:val="20"/>
                <w:szCs w:val="20"/>
              </w:rPr>
              <w:t>knowledge and best practice with colleagues.</w:t>
            </w:r>
          </w:p>
          <w:p w14:paraId="040C286F" w14:textId="43B61AB7" w:rsidR="002E130A" w:rsidRPr="00826BF3" w:rsidRDefault="002E130A" w:rsidP="00826BF3">
            <w:pPr>
              <w:pStyle w:val="ListParagraph"/>
              <w:numPr>
                <w:ilvl w:val="0"/>
                <w:numId w:val="23"/>
              </w:numPr>
              <w:spacing w:after="0" w:afterAutospacing="0"/>
              <w:ind w:left="316" w:hanging="316"/>
              <w:jc w:val="both"/>
              <w:rPr>
                <w:rFonts w:ascii="Arial" w:hAnsi="Arial" w:cs="Arial"/>
                <w:color w:val="333333"/>
                <w:shd w:val="clear" w:color="auto" w:fill="FFFFFF"/>
              </w:rPr>
            </w:pPr>
            <w:r w:rsidRPr="00826BF3">
              <w:rPr>
                <w:rFonts w:ascii="Arial" w:hAnsi="Arial" w:cs="Arial"/>
                <w:sz w:val="20"/>
                <w:szCs w:val="20"/>
              </w:rPr>
              <w:t>Take an active role in promoting a more inclusive environment, which aligns with our commitment to celebrate and promote diversity.</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230275AE" w:rsidR="009E22D0" w:rsidRPr="00826BF3" w:rsidRDefault="007E2750" w:rsidP="002E130A">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2E130A" w:rsidRPr="00826BF3">
              <w:rPr>
                <w:rFonts w:ascii="Arial" w:hAnsi="Arial" w:cs="Arial"/>
                <w:sz w:val="20"/>
                <w:szCs w:val="20"/>
              </w:rPr>
              <w:t xml:space="preserve"> </w:t>
            </w:r>
            <w:r w:rsidRPr="00826BF3">
              <w:rPr>
                <w:rFonts w:ascii="Arial" w:hAnsi="Arial" w:cs="Arial"/>
                <w:sz w:val="20"/>
                <w:szCs w:val="20"/>
              </w:rPr>
              <w:t>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k appetite</w:t>
            </w:r>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5AEEAF12"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6E0031">
              <w:rPr>
                <w:rFonts w:ascii="Arial" w:hAnsi="Arial" w:cs="Arial"/>
                <w:sz w:val="20"/>
                <w:szCs w:val="20"/>
              </w:rPr>
              <w:t>Others</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26EF7AE4"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 xml:space="preserve">Claims Management </w:t>
            </w:r>
            <w:r w:rsidR="002E130A">
              <w:rPr>
                <w:rFonts w:ascii="Arial" w:eastAsia="Calibri" w:hAnsi="Arial" w:cs="Arial"/>
                <w:sz w:val="20"/>
                <w:szCs w:val="20"/>
              </w:rPr>
              <w:t>and/</w:t>
            </w:r>
            <w:r>
              <w:rPr>
                <w:rFonts w:ascii="Arial" w:eastAsia="Calibri" w:hAnsi="Arial" w:cs="Arial"/>
                <w:sz w:val="20"/>
                <w:szCs w:val="20"/>
              </w:rPr>
              <w:t>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80571F8" w14:textId="77777777" w:rsidR="002E130A" w:rsidRPr="00826BF3" w:rsidRDefault="002E130A" w:rsidP="00826BF3">
            <w:pPr>
              <w:pStyle w:val="ListParagraph"/>
              <w:numPr>
                <w:ilvl w:val="0"/>
                <w:numId w:val="5"/>
              </w:numPr>
              <w:spacing w:after="0"/>
              <w:ind w:left="176" w:hanging="142"/>
              <w:rPr>
                <w:rFonts w:ascii="Arial" w:eastAsia="Calibri" w:hAnsi="Arial" w:cs="Arial"/>
                <w:sz w:val="20"/>
                <w:szCs w:val="20"/>
              </w:rPr>
            </w:pPr>
            <w:r w:rsidRPr="00826BF3">
              <w:rPr>
                <w:rFonts w:ascii="Arial" w:eastAsia="Calibri" w:hAnsi="Arial" w:cs="Arial"/>
                <w:sz w:val="20"/>
                <w:szCs w:val="20"/>
              </w:rPr>
              <w:t>Coaching and mentoring skills</w:t>
            </w:r>
          </w:p>
          <w:p w14:paraId="4756E0E0" w14:textId="77777777" w:rsidR="00437DD4" w:rsidRPr="00826BF3" w:rsidRDefault="00437DD4" w:rsidP="00826BF3">
            <w:pPr>
              <w:spacing w:line="240" w:lineRule="auto"/>
              <w:ind w:left="176" w:hanging="142"/>
              <w:rPr>
                <w:rFonts w:ascii="Arial" w:eastAsia="Calibri" w:hAnsi="Arial" w:cs="Arial"/>
                <w:sz w:val="20"/>
                <w:szCs w:val="20"/>
                <w:lang w:eastAsia="en-US"/>
              </w:rPr>
            </w:pPr>
          </w:p>
        </w:tc>
        <w:tc>
          <w:tcPr>
            <w:tcW w:w="2693" w:type="dxa"/>
          </w:tcPr>
          <w:p w14:paraId="75EACFE5" w14:textId="77777777" w:rsidR="00437DD4" w:rsidRPr="00BD233E" w:rsidRDefault="00437DD4" w:rsidP="00826BF3">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4C367C73" w14:textId="6F0B67BD" w:rsidR="00437DD4" w:rsidRDefault="00437DD4" w:rsidP="00826BF3">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2397C342" w14:textId="4B172CED" w:rsidR="002E130A" w:rsidRPr="00826BF3" w:rsidRDefault="002E130A" w:rsidP="00826BF3">
            <w:pPr>
              <w:pStyle w:val="ListParagraph"/>
              <w:numPr>
                <w:ilvl w:val="0"/>
                <w:numId w:val="5"/>
              </w:numPr>
              <w:spacing w:after="0"/>
              <w:ind w:left="176" w:hanging="142"/>
              <w:rPr>
                <w:rFonts w:ascii="Arial" w:eastAsia="Calibri" w:hAnsi="Arial" w:cs="Arial"/>
                <w:sz w:val="20"/>
                <w:szCs w:val="20"/>
              </w:rPr>
            </w:pPr>
            <w:r w:rsidRPr="00826BF3">
              <w:rPr>
                <w:rFonts w:ascii="Arial" w:eastAsia="Calibri" w:hAnsi="Arial" w:cs="Arial"/>
                <w:sz w:val="20"/>
                <w:szCs w:val="20"/>
              </w:rPr>
              <w:t>Insurance / regulatory environment</w:t>
            </w:r>
          </w:p>
          <w:p w14:paraId="6AFDDE2B" w14:textId="77777777" w:rsidR="00437DD4" w:rsidRPr="00826BF3" w:rsidRDefault="00437DD4" w:rsidP="00826BF3">
            <w:pPr>
              <w:spacing w:line="240" w:lineRule="auto"/>
              <w:ind w:left="176" w:hanging="142"/>
              <w:rPr>
                <w:rFonts w:ascii="Arial" w:eastAsia="Calibri" w:hAnsi="Arial" w:cs="Arial"/>
                <w:sz w:val="20"/>
                <w:szCs w:val="20"/>
                <w:lang w:eastAsia="en-US"/>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B663" w14:textId="77777777" w:rsidR="003C0DE6" w:rsidRDefault="003C0DE6" w:rsidP="009E22D0">
      <w:pPr>
        <w:spacing w:after="0" w:line="240" w:lineRule="auto"/>
      </w:pPr>
      <w:r>
        <w:separator/>
      </w:r>
    </w:p>
  </w:endnote>
  <w:endnote w:type="continuationSeparator" w:id="0">
    <w:p w14:paraId="778849A2" w14:textId="77777777" w:rsidR="003C0DE6" w:rsidRDefault="003C0DE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1EC6401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2E130A">
      <w:rPr>
        <w:rFonts w:ascii="Arial" w:eastAsiaTheme="minorHAnsi" w:hAnsi="Arial" w:cs="Arial"/>
        <w:sz w:val="16"/>
        <w:lang w:eastAsia="en-US"/>
      </w:rPr>
      <w:t>February 2023</w:t>
    </w:r>
  </w:p>
  <w:p w14:paraId="54642DE8" w14:textId="1E39797E"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2E130A">
      <w:rPr>
        <w:rFonts w:ascii="Arial" w:eastAsiaTheme="minorHAnsi" w:hAnsi="Arial" w:cs="Arial"/>
        <w:sz w:val="16"/>
        <w:lang w:eastAsia="en-US"/>
      </w:rPr>
      <w:t>Q1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7818" w14:textId="77777777" w:rsidR="003C0DE6" w:rsidRDefault="003C0DE6" w:rsidP="009E22D0">
      <w:pPr>
        <w:spacing w:after="0" w:line="240" w:lineRule="auto"/>
      </w:pPr>
      <w:r>
        <w:separator/>
      </w:r>
    </w:p>
  </w:footnote>
  <w:footnote w:type="continuationSeparator" w:id="0">
    <w:p w14:paraId="6B4B9A2D" w14:textId="77777777" w:rsidR="003C0DE6" w:rsidRDefault="003C0DE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246515">
    <w:abstractNumId w:val="15"/>
  </w:num>
  <w:num w:numId="2" w16cid:durableId="755901152">
    <w:abstractNumId w:val="6"/>
  </w:num>
  <w:num w:numId="3" w16cid:durableId="1978564292">
    <w:abstractNumId w:val="12"/>
  </w:num>
  <w:num w:numId="4" w16cid:durableId="1142381846">
    <w:abstractNumId w:val="11"/>
  </w:num>
  <w:num w:numId="5" w16cid:durableId="1837262231">
    <w:abstractNumId w:val="14"/>
  </w:num>
  <w:num w:numId="6" w16cid:durableId="1216507389">
    <w:abstractNumId w:val="8"/>
  </w:num>
  <w:num w:numId="7" w16cid:durableId="819881599">
    <w:abstractNumId w:val="18"/>
  </w:num>
  <w:num w:numId="8" w16cid:durableId="167134806">
    <w:abstractNumId w:val="23"/>
  </w:num>
  <w:num w:numId="9" w16cid:durableId="2135323028">
    <w:abstractNumId w:val="25"/>
  </w:num>
  <w:num w:numId="10" w16cid:durableId="324742904">
    <w:abstractNumId w:val="21"/>
  </w:num>
  <w:num w:numId="11" w16cid:durableId="531571471">
    <w:abstractNumId w:val="10"/>
  </w:num>
  <w:num w:numId="12" w16cid:durableId="493960213">
    <w:abstractNumId w:val="22"/>
  </w:num>
  <w:num w:numId="13" w16cid:durableId="1771467314">
    <w:abstractNumId w:val="17"/>
  </w:num>
  <w:num w:numId="14" w16cid:durableId="320089133">
    <w:abstractNumId w:val="13"/>
  </w:num>
  <w:num w:numId="15" w16cid:durableId="620455886">
    <w:abstractNumId w:val="9"/>
  </w:num>
  <w:num w:numId="16" w16cid:durableId="28995884">
    <w:abstractNumId w:val="24"/>
  </w:num>
  <w:num w:numId="17" w16cid:durableId="2077438676">
    <w:abstractNumId w:val="7"/>
  </w:num>
  <w:num w:numId="18" w16cid:durableId="591932484">
    <w:abstractNumId w:val="16"/>
  </w:num>
  <w:num w:numId="19" w16cid:durableId="1090469437">
    <w:abstractNumId w:val="4"/>
  </w:num>
  <w:num w:numId="20" w16cid:durableId="919217452">
    <w:abstractNumId w:val="20"/>
  </w:num>
  <w:num w:numId="21" w16cid:durableId="597254686">
    <w:abstractNumId w:val="8"/>
  </w:num>
  <w:num w:numId="22" w16cid:durableId="721515191">
    <w:abstractNumId w:val="0"/>
  </w:num>
  <w:num w:numId="23" w16cid:durableId="887497169">
    <w:abstractNumId w:val="19"/>
  </w:num>
  <w:num w:numId="24" w16cid:durableId="1404639832">
    <w:abstractNumId w:val="5"/>
  </w:num>
  <w:num w:numId="25" w16cid:durableId="544635814">
    <w:abstractNumId w:val="2"/>
  </w:num>
  <w:num w:numId="26" w16cid:durableId="1875918773">
    <w:abstractNumId w:val="1"/>
  </w:num>
  <w:num w:numId="27" w16cid:durableId="519899823">
    <w:abstractNumId w:val="6"/>
  </w:num>
  <w:num w:numId="28" w16cid:durableId="451558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2E130A"/>
    <w:rsid w:val="00300B83"/>
    <w:rsid w:val="00352506"/>
    <w:rsid w:val="003859E6"/>
    <w:rsid w:val="003C0DE6"/>
    <w:rsid w:val="003C5777"/>
    <w:rsid w:val="003E4DD8"/>
    <w:rsid w:val="003E5744"/>
    <w:rsid w:val="00422BEB"/>
    <w:rsid w:val="0043632C"/>
    <w:rsid w:val="00437DD4"/>
    <w:rsid w:val="0044194D"/>
    <w:rsid w:val="00443039"/>
    <w:rsid w:val="00470130"/>
    <w:rsid w:val="00473E10"/>
    <w:rsid w:val="00475809"/>
    <w:rsid w:val="00484FBD"/>
    <w:rsid w:val="004A2128"/>
    <w:rsid w:val="004C1461"/>
    <w:rsid w:val="004C48E7"/>
    <w:rsid w:val="004D18E8"/>
    <w:rsid w:val="004F0BDA"/>
    <w:rsid w:val="005542D1"/>
    <w:rsid w:val="0056188D"/>
    <w:rsid w:val="005739E5"/>
    <w:rsid w:val="00585BDF"/>
    <w:rsid w:val="005F404A"/>
    <w:rsid w:val="00614A9C"/>
    <w:rsid w:val="00615FCE"/>
    <w:rsid w:val="00620AE8"/>
    <w:rsid w:val="006219B1"/>
    <w:rsid w:val="006372A5"/>
    <w:rsid w:val="00666EB3"/>
    <w:rsid w:val="00680FAA"/>
    <w:rsid w:val="00683051"/>
    <w:rsid w:val="006911D1"/>
    <w:rsid w:val="00693299"/>
    <w:rsid w:val="006B6A3F"/>
    <w:rsid w:val="006C3AA3"/>
    <w:rsid w:val="006C4598"/>
    <w:rsid w:val="006D5EA8"/>
    <w:rsid w:val="006E0031"/>
    <w:rsid w:val="006E7706"/>
    <w:rsid w:val="006F369A"/>
    <w:rsid w:val="00711E46"/>
    <w:rsid w:val="00714055"/>
    <w:rsid w:val="00717094"/>
    <w:rsid w:val="00735C16"/>
    <w:rsid w:val="0077487F"/>
    <w:rsid w:val="0078412F"/>
    <w:rsid w:val="007E2750"/>
    <w:rsid w:val="007E7CA1"/>
    <w:rsid w:val="00813AEB"/>
    <w:rsid w:val="00826BF3"/>
    <w:rsid w:val="008B294E"/>
    <w:rsid w:val="008F0FA5"/>
    <w:rsid w:val="009246B8"/>
    <w:rsid w:val="00927B92"/>
    <w:rsid w:val="009317A0"/>
    <w:rsid w:val="00981F25"/>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85420"/>
    <w:rsid w:val="00C87A88"/>
    <w:rsid w:val="00C91CFA"/>
    <w:rsid w:val="00CD2B9D"/>
    <w:rsid w:val="00D117F3"/>
    <w:rsid w:val="00D17205"/>
    <w:rsid w:val="00D564D2"/>
    <w:rsid w:val="00D56AA4"/>
    <w:rsid w:val="00DB1E98"/>
    <w:rsid w:val="00DB68D3"/>
    <w:rsid w:val="00DC5132"/>
    <w:rsid w:val="00DC5E71"/>
    <w:rsid w:val="00DE09EA"/>
    <w:rsid w:val="00E01407"/>
    <w:rsid w:val="00E01C74"/>
    <w:rsid w:val="00E0317E"/>
    <w:rsid w:val="00E12AD4"/>
    <w:rsid w:val="00E17895"/>
    <w:rsid w:val="00E272ED"/>
    <w:rsid w:val="00E35660"/>
    <w:rsid w:val="00E40431"/>
    <w:rsid w:val="00E40AC5"/>
    <w:rsid w:val="00E70610"/>
    <w:rsid w:val="00EA741C"/>
    <w:rsid w:val="00EC37E4"/>
    <w:rsid w:val="00EC5E65"/>
    <w:rsid w:val="00EE296A"/>
    <w:rsid w:val="00EE6C55"/>
    <w:rsid w:val="00F04FC6"/>
    <w:rsid w:val="00F5319A"/>
    <w:rsid w:val="00F86DA8"/>
    <w:rsid w:val="00F944B0"/>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64BBE3"/>
  <w15:docId w15:val="{81E99AC0-E0CC-462F-AD09-6CA600C7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21CF2730-BD10-4D56-ABFC-CE0FFC924D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1021</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Nailah Ahmed</cp:lastModifiedBy>
  <cp:revision>9</cp:revision>
  <cp:lastPrinted>2023-02-02T15:10:00Z</cp:lastPrinted>
  <dcterms:created xsi:type="dcterms:W3CDTF">2023-02-02T13:50:00Z</dcterms:created>
  <dcterms:modified xsi:type="dcterms:W3CDTF">2026-03-26T13:58:00Z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2025-10-15T08:46:32Z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64665701-10e5-4154-bfc4-983f319617be</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