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490" w:type="dxa"/>
        <w:tblInd w:w="-743" w:type="dxa"/>
        <w:tblLook w:val="04A0" w:firstRow="1" w:lastRow="0" w:firstColumn="1" w:lastColumn="0" w:noHBand="0" w:noVBand="1"/>
      </w:tblPr>
      <w:tblGrid>
        <w:gridCol w:w="2127"/>
        <w:gridCol w:w="3119"/>
        <w:gridCol w:w="1984"/>
        <w:gridCol w:w="3260"/>
      </w:tblGrid>
      <w:tr w:rsidR="00F5319A" w:rsidRPr="00B75089" w14:paraId="565BEF62" w14:textId="77777777" w:rsidTr="007E7CA1">
        <w:trPr>
          <w:trHeight w:val="265"/>
        </w:trPr>
        <w:tc>
          <w:tcPr>
            <w:tcW w:w="2127" w:type="dxa"/>
            <w:shd w:val="clear" w:color="auto" w:fill="D9D9D9" w:themeFill="background1" w:themeFillShade="D9"/>
          </w:tcPr>
          <w:p w14:paraId="232CD277"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Role title:</w:t>
            </w:r>
          </w:p>
        </w:tc>
        <w:tc>
          <w:tcPr>
            <w:tcW w:w="3119" w:type="dxa"/>
          </w:tcPr>
          <w:p w14:paraId="0992E9B6" w14:textId="0FA2E000" w:rsidR="00F5319A" w:rsidRPr="00B75089" w:rsidRDefault="00317A89" w:rsidP="00B75089">
            <w:pPr>
              <w:pStyle w:val="Header"/>
              <w:spacing w:after="0"/>
              <w:jc w:val="both"/>
              <w:rPr>
                <w:rFonts w:ascii="Arial" w:hAnsi="Arial" w:cs="Arial"/>
                <w:sz w:val="20"/>
                <w:szCs w:val="20"/>
              </w:rPr>
            </w:pPr>
            <w:r>
              <w:rPr>
                <w:rFonts w:ascii="Arial" w:hAnsi="Arial" w:cs="Arial"/>
                <w:sz w:val="20"/>
                <w:szCs w:val="20"/>
              </w:rPr>
              <w:t>IT Vendor Manager</w:t>
            </w:r>
          </w:p>
        </w:tc>
        <w:tc>
          <w:tcPr>
            <w:tcW w:w="1984" w:type="dxa"/>
            <w:shd w:val="clear" w:color="auto" w:fill="D9D9D9" w:themeFill="background1" w:themeFillShade="D9"/>
          </w:tcPr>
          <w:p w14:paraId="641CB3B9"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Responsible to:</w:t>
            </w:r>
          </w:p>
        </w:tc>
        <w:tc>
          <w:tcPr>
            <w:tcW w:w="3260" w:type="dxa"/>
          </w:tcPr>
          <w:p w14:paraId="3C279A6C" w14:textId="6FA2AB86" w:rsidR="00F5319A" w:rsidRPr="00B75089" w:rsidRDefault="00095CEA" w:rsidP="00B75089">
            <w:pPr>
              <w:pStyle w:val="Header"/>
              <w:spacing w:after="0"/>
              <w:jc w:val="both"/>
              <w:rPr>
                <w:rFonts w:ascii="Arial" w:hAnsi="Arial" w:cs="Arial"/>
                <w:sz w:val="20"/>
                <w:szCs w:val="20"/>
              </w:rPr>
            </w:pPr>
            <w:r>
              <w:rPr>
                <w:rFonts w:ascii="Arial" w:hAnsi="Arial" w:cs="Arial"/>
                <w:sz w:val="20"/>
                <w:szCs w:val="20"/>
              </w:rPr>
              <w:t xml:space="preserve">Head of Data and Service Delivery </w:t>
            </w:r>
          </w:p>
        </w:tc>
      </w:tr>
      <w:tr w:rsidR="00F5319A" w:rsidRPr="00B75089" w14:paraId="387E9431" w14:textId="77777777" w:rsidTr="007E7CA1">
        <w:trPr>
          <w:trHeight w:val="278"/>
        </w:trPr>
        <w:tc>
          <w:tcPr>
            <w:tcW w:w="2127" w:type="dxa"/>
            <w:shd w:val="clear" w:color="auto" w:fill="D9D9D9" w:themeFill="background1" w:themeFillShade="D9"/>
          </w:tcPr>
          <w:p w14:paraId="1FFB6DC0"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Division:</w:t>
            </w:r>
          </w:p>
        </w:tc>
        <w:tc>
          <w:tcPr>
            <w:tcW w:w="3119" w:type="dxa"/>
          </w:tcPr>
          <w:p w14:paraId="0BAE2EDA" w14:textId="653F7343" w:rsidR="00F5319A" w:rsidRPr="00B75089" w:rsidRDefault="00317A89" w:rsidP="00B75089">
            <w:pPr>
              <w:pStyle w:val="Header"/>
              <w:spacing w:after="0"/>
              <w:jc w:val="both"/>
              <w:rPr>
                <w:rFonts w:ascii="Arial" w:hAnsi="Arial" w:cs="Arial"/>
                <w:sz w:val="20"/>
                <w:szCs w:val="20"/>
              </w:rPr>
            </w:pPr>
            <w:r>
              <w:rPr>
                <w:rFonts w:ascii="Arial" w:hAnsi="Arial" w:cs="Arial"/>
                <w:sz w:val="20"/>
                <w:szCs w:val="20"/>
              </w:rPr>
              <w:t>Digital</w:t>
            </w:r>
            <w:r w:rsidR="00095CEA">
              <w:rPr>
                <w:rFonts w:ascii="Arial" w:hAnsi="Arial" w:cs="Arial"/>
                <w:sz w:val="20"/>
                <w:szCs w:val="20"/>
              </w:rPr>
              <w:t xml:space="preserve"> and </w:t>
            </w:r>
            <w:r>
              <w:rPr>
                <w:rFonts w:ascii="Arial" w:hAnsi="Arial" w:cs="Arial"/>
                <w:sz w:val="20"/>
                <w:szCs w:val="20"/>
              </w:rPr>
              <w:t>Change</w:t>
            </w:r>
          </w:p>
        </w:tc>
        <w:tc>
          <w:tcPr>
            <w:tcW w:w="1984" w:type="dxa"/>
            <w:shd w:val="clear" w:color="auto" w:fill="D9D9D9" w:themeFill="background1" w:themeFillShade="D9"/>
          </w:tcPr>
          <w:p w14:paraId="34481B57" w14:textId="77777777" w:rsidR="00F5319A" w:rsidRPr="00B75089" w:rsidRDefault="006219B1" w:rsidP="00B75089">
            <w:pPr>
              <w:pStyle w:val="Header"/>
              <w:spacing w:after="0"/>
              <w:jc w:val="both"/>
              <w:rPr>
                <w:rFonts w:ascii="Arial" w:hAnsi="Arial" w:cs="Arial"/>
                <w:b/>
                <w:sz w:val="20"/>
                <w:szCs w:val="20"/>
              </w:rPr>
            </w:pPr>
            <w:r w:rsidRPr="00B75089">
              <w:rPr>
                <w:rFonts w:ascii="Arial" w:hAnsi="Arial" w:cs="Arial"/>
                <w:b/>
                <w:sz w:val="20"/>
                <w:szCs w:val="20"/>
              </w:rPr>
              <w:t>Department</w:t>
            </w:r>
            <w:r w:rsidR="00F5319A" w:rsidRPr="00B75089">
              <w:rPr>
                <w:rFonts w:ascii="Arial" w:hAnsi="Arial" w:cs="Arial"/>
                <w:b/>
                <w:sz w:val="20"/>
                <w:szCs w:val="20"/>
              </w:rPr>
              <w:t>:</w:t>
            </w:r>
          </w:p>
        </w:tc>
        <w:tc>
          <w:tcPr>
            <w:tcW w:w="3260" w:type="dxa"/>
          </w:tcPr>
          <w:p w14:paraId="4D4DB0A5" w14:textId="0AF4BABB" w:rsidR="00F5319A" w:rsidRPr="00B75089" w:rsidRDefault="00832E4E" w:rsidP="00B75089">
            <w:pPr>
              <w:pStyle w:val="Header"/>
              <w:spacing w:after="0"/>
              <w:jc w:val="both"/>
              <w:rPr>
                <w:rFonts w:ascii="Arial" w:hAnsi="Arial" w:cs="Arial"/>
                <w:sz w:val="20"/>
                <w:szCs w:val="20"/>
              </w:rPr>
            </w:pPr>
            <w:r>
              <w:rPr>
                <w:rFonts w:ascii="Arial" w:hAnsi="Arial" w:cs="Arial"/>
                <w:sz w:val="20"/>
                <w:szCs w:val="20"/>
              </w:rPr>
              <w:t xml:space="preserve">Data </w:t>
            </w:r>
            <w:r w:rsidR="00095CEA">
              <w:rPr>
                <w:rFonts w:ascii="Arial" w:hAnsi="Arial" w:cs="Arial"/>
                <w:sz w:val="20"/>
                <w:szCs w:val="20"/>
              </w:rPr>
              <w:t>and</w:t>
            </w:r>
            <w:r>
              <w:rPr>
                <w:rFonts w:ascii="Arial" w:hAnsi="Arial" w:cs="Arial"/>
                <w:sz w:val="20"/>
                <w:szCs w:val="20"/>
              </w:rPr>
              <w:t xml:space="preserve"> Service Delivery</w:t>
            </w:r>
          </w:p>
        </w:tc>
      </w:tr>
      <w:tr w:rsidR="00F5319A" w:rsidRPr="00B75089" w14:paraId="1A0FA9A7" w14:textId="77777777" w:rsidTr="007E7CA1">
        <w:trPr>
          <w:trHeight w:val="265"/>
        </w:trPr>
        <w:tc>
          <w:tcPr>
            <w:tcW w:w="2127" w:type="dxa"/>
            <w:vMerge w:val="restart"/>
            <w:shd w:val="clear" w:color="auto" w:fill="D9D9D9" w:themeFill="background1" w:themeFillShade="D9"/>
          </w:tcPr>
          <w:p w14:paraId="6B07E501"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Direct Reports and Level:</w:t>
            </w:r>
          </w:p>
        </w:tc>
        <w:tc>
          <w:tcPr>
            <w:tcW w:w="3119" w:type="dxa"/>
            <w:vMerge w:val="restart"/>
          </w:tcPr>
          <w:p w14:paraId="5CAE11AC" w14:textId="69DD3A32" w:rsidR="00F5319A" w:rsidRPr="00B75089" w:rsidRDefault="00832E4E" w:rsidP="00B75089">
            <w:pPr>
              <w:pStyle w:val="Header"/>
              <w:spacing w:after="0"/>
              <w:jc w:val="both"/>
              <w:rPr>
                <w:rFonts w:ascii="Arial" w:hAnsi="Arial" w:cs="Arial"/>
                <w:sz w:val="20"/>
                <w:szCs w:val="20"/>
              </w:rPr>
            </w:pPr>
            <w:r>
              <w:rPr>
                <w:rFonts w:ascii="Arial" w:hAnsi="Arial" w:cs="Arial"/>
                <w:sz w:val="20"/>
                <w:szCs w:val="20"/>
              </w:rPr>
              <w:t xml:space="preserve">IT </w:t>
            </w:r>
            <w:r w:rsidR="000D2983">
              <w:rPr>
                <w:rFonts w:ascii="Arial" w:hAnsi="Arial" w:cs="Arial"/>
                <w:sz w:val="20"/>
                <w:szCs w:val="20"/>
              </w:rPr>
              <w:t>Service Analyst</w:t>
            </w:r>
          </w:p>
        </w:tc>
        <w:tc>
          <w:tcPr>
            <w:tcW w:w="1984" w:type="dxa"/>
            <w:shd w:val="clear" w:color="auto" w:fill="D9D9D9" w:themeFill="background1" w:themeFillShade="D9"/>
          </w:tcPr>
          <w:p w14:paraId="1CE8C8AE"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Scope:</w:t>
            </w:r>
          </w:p>
        </w:tc>
        <w:tc>
          <w:tcPr>
            <w:tcW w:w="3260" w:type="dxa"/>
          </w:tcPr>
          <w:p w14:paraId="296782D8" w14:textId="4F8D9152" w:rsidR="00F5319A" w:rsidRDefault="00092EDF" w:rsidP="00B75089">
            <w:pPr>
              <w:pStyle w:val="Header"/>
              <w:spacing w:after="0"/>
              <w:ind w:left="34"/>
              <w:jc w:val="both"/>
              <w:rPr>
                <w:rFonts w:ascii="Arial" w:hAnsi="Arial" w:cs="Arial"/>
                <w:sz w:val="20"/>
                <w:szCs w:val="20"/>
              </w:rPr>
            </w:pPr>
            <w:r>
              <w:rPr>
                <w:rFonts w:ascii="Arial" w:hAnsi="Arial" w:cs="Arial"/>
                <w:sz w:val="20"/>
                <w:szCs w:val="20"/>
              </w:rPr>
              <w:t>TBD</w:t>
            </w:r>
          </w:p>
          <w:p w14:paraId="031364D3" w14:textId="77777777" w:rsidR="00B75089" w:rsidRPr="00B75089" w:rsidRDefault="00B75089" w:rsidP="00B75089">
            <w:pPr>
              <w:pStyle w:val="Header"/>
              <w:spacing w:after="0"/>
              <w:ind w:left="34"/>
              <w:jc w:val="both"/>
              <w:rPr>
                <w:rFonts w:ascii="Arial" w:hAnsi="Arial" w:cs="Arial"/>
                <w:sz w:val="20"/>
                <w:szCs w:val="20"/>
              </w:rPr>
            </w:pPr>
          </w:p>
        </w:tc>
      </w:tr>
      <w:tr w:rsidR="00F5319A" w:rsidRPr="00B75089" w14:paraId="457FF8C7" w14:textId="77777777" w:rsidTr="007E7CA1">
        <w:trPr>
          <w:trHeight w:val="350"/>
        </w:trPr>
        <w:tc>
          <w:tcPr>
            <w:tcW w:w="2127" w:type="dxa"/>
            <w:vMerge/>
            <w:shd w:val="clear" w:color="auto" w:fill="D9D9D9" w:themeFill="background1" w:themeFillShade="D9"/>
          </w:tcPr>
          <w:p w14:paraId="65EC2B95" w14:textId="77777777" w:rsidR="00F5319A" w:rsidRPr="00B75089" w:rsidRDefault="00F5319A" w:rsidP="00B75089">
            <w:pPr>
              <w:pStyle w:val="Header"/>
              <w:spacing w:after="0"/>
              <w:ind w:left="-11"/>
              <w:rPr>
                <w:rFonts w:ascii="Arial" w:hAnsi="Arial" w:cs="Arial"/>
                <w:b/>
                <w:sz w:val="20"/>
                <w:szCs w:val="20"/>
              </w:rPr>
            </w:pPr>
          </w:p>
        </w:tc>
        <w:tc>
          <w:tcPr>
            <w:tcW w:w="3119" w:type="dxa"/>
            <w:vMerge/>
          </w:tcPr>
          <w:p w14:paraId="3050E1A6" w14:textId="77777777"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29ED7413"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Scale:</w:t>
            </w:r>
          </w:p>
        </w:tc>
        <w:tc>
          <w:tcPr>
            <w:tcW w:w="3260" w:type="dxa"/>
          </w:tcPr>
          <w:p w14:paraId="152B9F03" w14:textId="53C19C80" w:rsidR="00F5319A" w:rsidRPr="00B75089" w:rsidRDefault="00095CEA" w:rsidP="00B75089">
            <w:pPr>
              <w:pStyle w:val="Header"/>
              <w:spacing w:after="0"/>
              <w:jc w:val="both"/>
              <w:rPr>
                <w:rFonts w:ascii="Arial" w:hAnsi="Arial" w:cs="Arial"/>
                <w:sz w:val="20"/>
                <w:szCs w:val="20"/>
              </w:rPr>
            </w:pPr>
            <w:r>
              <w:rPr>
                <w:rFonts w:ascii="Arial" w:hAnsi="Arial" w:cs="Arial"/>
                <w:sz w:val="20"/>
                <w:szCs w:val="20"/>
              </w:rPr>
              <w:t xml:space="preserve">£TBD budget </w:t>
            </w:r>
          </w:p>
        </w:tc>
      </w:tr>
      <w:tr w:rsidR="00F5319A" w:rsidRPr="00B75089" w14:paraId="1EF2BA41" w14:textId="77777777" w:rsidTr="007E7CA1">
        <w:trPr>
          <w:trHeight w:val="381"/>
        </w:trPr>
        <w:tc>
          <w:tcPr>
            <w:tcW w:w="2127" w:type="dxa"/>
            <w:vMerge/>
            <w:shd w:val="clear" w:color="auto" w:fill="D9D9D9" w:themeFill="background1" w:themeFillShade="D9"/>
          </w:tcPr>
          <w:p w14:paraId="5977B718" w14:textId="77777777" w:rsidR="00F5319A" w:rsidRPr="00B75089" w:rsidRDefault="00F5319A" w:rsidP="00B75089">
            <w:pPr>
              <w:pStyle w:val="Header"/>
              <w:spacing w:after="0"/>
              <w:ind w:left="-11"/>
              <w:rPr>
                <w:rFonts w:ascii="Arial" w:hAnsi="Arial" w:cs="Arial"/>
                <w:b/>
                <w:sz w:val="20"/>
                <w:szCs w:val="20"/>
              </w:rPr>
            </w:pPr>
          </w:p>
        </w:tc>
        <w:tc>
          <w:tcPr>
            <w:tcW w:w="3119" w:type="dxa"/>
            <w:vMerge/>
          </w:tcPr>
          <w:p w14:paraId="60B7F486" w14:textId="77777777"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0C2CAC99" w14:textId="77777777" w:rsidR="00F5319A" w:rsidRPr="00B75089" w:rsidRDefault="007E7CA1" w:rsidP="00B75089">
            <w:pPr>
              <w:pStyle w:val="Header"/>
              <w:spacing w:after="0"/>
              <w:jc w:val="both"/>
              <w:rPr>
                <w:rFonts w:ascii="Arial" w:hAnsi="Arial" w:cs="Arial"/>
                <w:b/>
                <w:color w:val="FF0000"/>
                <w:sz w:val="20"/>
                <w:szCs w:val="20"/>
              </w:rPr>
            </w:pPr>
            <w:r w:rsidRPr="00B75089">
              <w:rPr>
                <w:rFonts w:ascii="Arial" w:hAnsi="Arial" w:cs="Arial"/>
                <w:b/>
                <w:sz w:val="20"/>
                <w:szCs w:val="20"/>
              </w:rPr>
              <w:t xml:space="preserve">Regulated Function(s) </w:t>
            </w:r>
            <w:r w:rsidR="00F5319A" w:rsidRPr="00B75089">
              <w:rPr>
                <w:rFonts w:ascii="Arial" w:hAnsi="Arial" w:cs="Arial"/>
                <w:b/>
                <w:sz w:val="20"/>
                <w:szCs w:val="20"/>
              </w:rPr>
              <w:t>Held:</w:t>
            </w:r>
          </w:p>
        </w:tc>
        <w:tc>
          <w:tcPr>
            <w:tcW w:w="3260" w:type="dxa"/>
          </w:tcPr>
          <w:p w14:paraId="28E61CFC" w14:textId="4572329C" w:rsidR="00F5319A" w:rsidRPr="00B75089" w:rsidRDefault="00F5319A" w:rsidP="00B75089">
            <w:pPr>
              <w:pStyle w:val="Header"/>
              <w:spacing w:after="0"/>
              <w:jc w:val="both"/>
              <w:rPr>
                <w:rFonts w:ascii="Arial" w:hAnsi="Arial" w:cs="Arial"/>
                <w:color w:val="FF0000"/>
                <w:sz w:val="20"/>
                <w:szCs w:val="20"/>
              </w:rPr>
            </w:pPr>
            <w:r w:rsidRPr="00B75089">
              <w:rPr>
                <w:rFonts w:ascii="Arial" w:hAnsi="Arial" w:cs="Arial"/>
                <w:color w:val="000000" w:themeColor="text1"/>
                <w:sz w:val="20"/>
                <w:szCs w:val="20"/>
              </w:rPr>
              <w:t>No</w:t>
            </w:r>
          </w:p>
        </w:tc>
      </w:tr>
      <w:tr w:rsidR="007E7CA1" w:rsidRPr="00B75089" w14:paraId="339E4E8F" w14:textId="77777777" w:rsidTr="007E7CA1">
        <w:trPr>
          <w:trHeight w:val="558"/>
        </w:trPr>
        <w:tc>
          <w:tcPr>
            <w:tcW w:w="2127" w:type="dxa"/>
            <w:shd w:val="clear" w:color="auto" w:fill="D9D9D9" w:themeFill="background1" w:themeFillShade="D9"/>
          </w:tcPr>
          <w:p w14:paraId="60E006C2" w14:textId="77777777" w:rsidR="007E7CA1" w:rsidRPr="00B75089" w:rsidRDefault="007E7CA1" w:rsidP="00B75089">
            <w:pPr>
              <w:pStyle w:val="Header"/>
              <w:spacing w:after="0"/>
              <w:ind w:left="-11"/>
              <w:rPr>
                <w:rFonts w:ascii="Arial" w:hAnsi="Arial" w:cs="Arial"/>
                <w:b/>
                <w:sz w:val="20"/>
                <w:szCs w:val="20"/>
              </w:rPr>
            </w:pPr>
            <w:r w:rsidRPr="00B75089">
              <w:rPr>
                <w:rFonts w:ascii="Arial" w:hAnsi="Arial" w:cs="Arial"/>
                <w:b/>
                <w:sz w:val="20"/>
                <w:szCs w:val="20"/>
              </w:rPr>
              <w:t>Evaluation Level</w:t>
            </w:r>
          </w:p>
        </w:tc>
        <w:tc>
          <w:tcPr>
            <w:tcW w:w="3119" w:type="dxa"/>
          </w:tcPr>
          <w:p w14:paraId="0D7034B2" w14:textId="22155191" w:rsidR="007E7CA1" w:rsidRPr="00B75089" w:rsidRDefault="00FD3AB2" w:rsidP="00B75089">
            <w:pPr>
              <w:pStyle w:val="Header"/>
              <w:spacing w:after="0"/>
              <w:jc w:val="both"/>
              <w:rPr>
                <w:rFonts w:ascii="Arial" w:hAnsi="Arial" w:cs="Arial"/>
                <w:sz w:val="20"/>
                <w:szCs w:val="20"/>
              </w:rPr>
            </w:pPr>
            <w:r>
              <w:rPr>
                <w:rFonts w:ascii="Arial" w:hAnsi="Arial" w:cs="Arial"/>
                <w:sz w:val="20"/>
                <w:szCs w:val="20"/>
              </w:rPr>
              <w:t>Implement 2</w:t>
            </w:r>
          </w:p>
        </w:tc>
        <w:tc>
          <w:tcPr>
            <w:tcW w:w="1984" w:type="dxa"/>
            <w:shd w:val="clear" w:color="auto" w:fill="D9D9D9" w:themeFill="background1" w:themeFillShade="D9"/>
          </w:tcPr>
          <w:p w14:paraId="24A23994" w14:textId="77777777" w:rsidR="007E7CA1" w:rsidRPr="00B75089" w:rsidRDefault="007E7CA1" w:rsidP="00B75089">
            <w:pPr>
              <w:pStyle w:val="Header"/>
              <w:spacing w:after="0"/>
              <w:jc w:val="both"/>
              <w:rPr>
                <w:rFonts w:ascii="Arial" w:hAnsi="Arial" w:cs="Arial"/>
                <w:b/>
                <w:sz w:val="20"/>
                <w:szCs w:val="20"/>
              </w:rPr>
            </w:pPr>
            <w:r w:rsidRPr="00B75089">
              <w:rPr>
                <w:rFonts w:ascii="Arial" w:hAnsi="Arial" w:cs="Arial"/>
                <w:b/>
                <w:sz w:val="20"/>
                <w:szCs w:val="20"/>
              </w:rPr>
              <w:t>Role Family</w:t>
            </w:r>
          </w:p>
        </w:tc>
        <w:tc>
          <w:tcPr>
            <w:tcW w:w="3260" w:type="dxa"/>
          </w:tcPr>
          <w:p w14:paraId="7E879CFB" w14:textId="7B806141" w:rsidR="007E7CA1" w:rsidRPr="00B75089" w:rsidRDefault="00095CEA" w:rsidP="00B75089">
            <w:pPr>
              <w:pStyle w:val="Header"/>
              <w:spacing w:after="0"/>
              <w:jc w:val="both"/>
              <w:rPr>
                <w:rFonts w:ascii="Arial" w:hAnsi="Arial" w:cs="Arial"/>
                <w:color w:val="000000" w:themeColor="text1"/>
                <w:sz w:val="20"/>
                <w:szCs w:val="20"/>
              </w:rPr>
            </w:pPr>
            <w:r>
              <w:rPr>
                <w:rFonts w:ascii="Arial" w:hAnsi="Arial" w:cs="Arial"/>
                <w:color w:val="000000" w:themeColor="text1"/>
                <w:sz w:val="20"/>
                <w:szCs w:val="20"/>
              </w:rPr>
              <w:t xml:space="preserve">Group Corporate Functions </w:t>
            </w:r>
          </w:p>
        </w:tc>
      </w:tr>
    </w:tbl>
    <w:p w14:paraId="5B3883B6" w14:textId="77777777" w:rsidR="00F5319A" w:rsidRPr="00B75089" w:rsidRDefault="00F5319A" w:rsidP="00B75089">
      <w:pPr>
        <w:spacing w:line="240" w:lineRule="auto"/>
        <w:rPr>
          <w:rFonts w:ascii="Arial" w:hAnsi="Arial" w:cs="Arial"/>
          <w:sz w:val="20"/>
          <w:szCs w:val="20"/>
        </w:rPr>
      </w:pPr>
    </w:p>
    <w:tbl>
      <w:tblPr>
        <w:tblStyle w:val="TableGrid"/>
        <w:tblW w:w="10509" w:type="dxa"/>
        <w:tblInd w:w="-712" w:type="dxa"/>
        <w:tblLook w:val="04A0" w:firstRow="1" w:lastRow="0" w:firstColumn="1" w:lastColumn="0" w:noHBand="0" w:noVBand="1"/>
      </w:tblPr>
      <w:tblGrid>
        <w:gridCol w:w="10509"/>
      </w:tblGrid>
      <w:tr w:rsidR="009E22D0" w:rsidRPr="00B75089" w14:paraId="634F19FB" w14:textId="77777777" w:rsidTr="009E22D0">
        <w:trPr>
          <w:trHeight w:val="456"/>
        </w:trPr>
        <w:tc>
          <w:tcPr>
            <w:tcW w:w="10509" w:type="dxa"/>
            <w:shd w:val="clear" w:color="auto" w:fill="D9D9D9" w:themeFill="background1" w:themeFillShade="D9"/>
          </w:tcPr>
          <w:p w14:paraId="2221CD10"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05C4A087"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Overall Role Purpose</w:t>
            </w:r>
          </w:p>
        </w:tc>
      </w:tr>
      <w:tr w:rsidR="009E22D0" w:rsidRPr="00B75089" w14:paraId="02EF6D93" w14:textId="77777777" w:rsidTr="009E22D0">
        <w:trPr>
          <w:trHeight w:val="693"/>
        </w:trPr>
        <w:tc>
          <w:tcPr>
            <w:tcW w:w="10509" w:type="dxa"/>
          </w:tcPr>
          <w:p w14:paraId="6CA4A233" w14:textId="071FF98C" w:rsidR="00092EDF" w:rsidRPr="00092EDF" w:rsidRDefault="00092EDF" w:rsidP="00B75089">
            <w:pPr>
              <w:spacing w:line="240" w:lineRule="auto"/>
              <w:rPr>
                <w:rFonts w:ascii="Arial" w:hAnsi="Arial" w:cs="Arial"/>
                <w:i/>
                <w:sz w:val="20"/>
                <w:szCs w:val="20"/>
              </w:rPr>
            </w:pPr>
            <w:r w:rsidRPr="003558F3">
              <w:rPr>
                <w:rFonts w:ascii="Arial" w:hAnsi="Arial" w:cs="Arial"/>
                <w:sz w:val="20"/>
              </w:rPr>
              <w:t>The</w:t>
            </w:r>
            <w:r>
              <w:rPr>
                <w:rFonts w:ascii="Arial" w:hAnsi="Arial" w:cs="Arial"/>
                <w:sz w:val="20"/>
              </w:rPr>
              <w:t xml:space="preserve"> IT Vendor Manager will have overall responsibility for the supplier management and governance process. They will develop the capabilities of the service providers and apply disciplined vendor management policies and govern within the MPS Vendor Management Framework to achieve the best business outcomes with strong vendor governance.</w:t>
            </w:r>
          </w:p>
        </w:tc>
      </w:tr>
    </w:tbl>
    <w:p w14:paraId="364B5B5F" w14:textId="77777777" w:rsidR="009E22D0" w:rsidRPr="00B75089" w:rsidRDefault="009E22D0" w:rsidP="00B75089">
      <w:pPr>
        <w:spacing w:line="240" w:lineRule="auto"/>
        <w:rPr>
          <w:rFonts w:ascii="Arial" w:hAnsi="Arial" w:cs="Arial"/>
        </w:rPr>
      </w:pPr>
    </w:p>
    <w:tbl>
      <w:tblPr>
        <w:tblStyle w:val="TableGrid"/>
        <w:tblW w:w="10487" w:type="dxa"/>
        <w:tblInd w:w="-709" w:type="dxa"/>
        <w:tblLook w:val="04A0" w:firstRow="1" w:lastRow="0" w:firstColumn="1" w:lastColumn="0" w:noHBand="0" w:noVBand="1"/>
      </w:tblPr>
      <w:tblGrid>
        <w:gridCol w:w="6346"/>
        <w:gridCol w:w="4141"/>
      </w:tblGrid>
      <w:tr w:rsidR="009E22D0" w:rsidRPr="00B75089" w14:paraId="28959022" w14:textId="77777777" w:rsidTr="009E22D0">
        <w:trPr>
          <w:trHeight w:val="310"/>
        </w:trPr>
        <w:tc>
          <w:tcPr>
            <w:tcW w:w="6346" w:type="dxa"/>
            <w:shd w:val="clear" w:color="auto" w:fill="D9D9D9" w:themeFill="background1" w:themeFillShade="D9"/>
          </w:tcPr>
          <w:p w14:paraId="03FD237C"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2146F99B"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Accountabilities (R</w:t>
            </w:r>
            <w:r w:rsidRPr="00B75089">
              <w:rPr>
                <w:rFonts w:ascii="Arial" w:hAnsi="Arial" w:cs="Arial"/>
                <w:b/>
                <w:sz w:val="20"/>
                <w:szCs w:val="20"/>
                <w:u w:val="single"/>
              </w:rPr>
              <w:t>A</w:t>
            </w:r>
            <w:r w:rsidRPr="00B75089">
              <w:rPr>
                <w:rFonts w:ascii="Arial" w:hAnsi="Arial" w:cs="Arial"/>
                <w:b/>
                <w:sz w:val="20"/>
                <w:szCs w:val="20"/>
              </w:rPr>
              <w:t>CI)</w:t>
            </w:r>
          </w:p>
        </w:tc>
        <w:tc>
          <w:tcPr>
            <w:tcW w:w="4141" w:type="dxa"/>
            <w:shd w:val="clear" w:color="auto" w:fill="D9D9D9" w:themeFill="background1" w:themeFillShade="D9"/>
          </w:tcPr>
          <w:p w14:paraId="3AE27392"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1C786DBA"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Measures of Success/KPI’s</w:t>
            </w:r>
          </w:p>
          <w:p w14:paraId="53162933" w14:textId="77777777" w:rsidR="00717094" w:rsidRPr="00B75089" w:rsidRDefault="00717094" w:rsidP="00B75089">
            <w:pPr>
              <w:widowControl w:val="0"/>
              <w:autoSpaceDE w:val="0"/>
              <w:autoSpaceDN w:val="0"/>
              <w:adjustRightInd w:val="0"/>
              <w:spacing w:before="3" w:after="0" w:line="240" w:lineRule="auto"/>
              <w:rPr>
                <w:rFonts w:ascii="Arial" w:hAnsi="Arial" w:cs="Arial"/>
                <w:b/>
                <w:sz w:val="20"/>
                <w:szCs w:val="20"/>
              </w:rPr>
            </w:pPr>
          </w:p>
          <w:p w14:paraId="2B424674" w14:textId="77777777" w:rsidR="009E22D0" w:rsidRPr="00B75089" w:rsidRDefault="009E22D0" w:rsidP="00FD3AB2">
            <w:pPr>
              <w:widowControl w:val="0"/>
              <w:autoSpaceDE w:val="0"/>
              <w:autoSpaceDN w:val="0"/>
              <w:adjustRightInd w:val="0"/>
              <w:spacing w:before="3" w:after="0" w:line="240" w:lineRule="auto"/>
              <w:rPr>
                <w:rFonts w:ascii="Arial" w:hAnsi="Arial" w:cs="Arial"/>
                <w:b/>
                <w:sz w:val="20"/>
                <w:szCs w:val="20"/>
              </w:rPr>
            </w:pPr>
          </w:p>
        </w:tc>
      </w:tr>
      <w:tr w:rsidR="009E22D0" w:rsidRPr="00B75089" w14:paraId="1FE8FCD1" w14:textId="77777777" w:rsidTr="009E22D0">
        <w:trPr>
          <w:trHeight w:val="578"/>
        </w:trPr>
        <w:tc>
          <w:tcPr>
            <w:tcW w:w="6346" w:type="dxa"/>
          </w:tcPr>
          <w:p w14:paraId="0CC7207A" w14:textId="749D35F5" w:rsidR="00D84FA2" w:rsidRPr="00B75089" w:rsidRDefault="00D84FA2" w:rsidP="00D84FA2">
            <w:pPr>
              <w:spacing w:before="100" w:after="100" w:line="240" w:lineRule="auto"/>
              <w:rPr>
                <w:rFonts w:ascii="Arial" w:eastAsia="Calibri" w:hAnsi="Arial" w:cs="Arial"/>
                <w:sz w:val="20"/>
                <w:szCs w:val="20"/>
                <w:lang w:eastAsia="en-US"/>
              </w:rPr>
            </w:pPr>
            <w:r>
              <w:rPr>
                <w:rFonts w:ascii="Arial" w:eastAsia="Calibri" w:hAnsi="Arial" w:cs="Arial"/>
                <w:b/>
                <w:sz w:val="20"/>
                <w:szCs w:val="20"/>
                <w:lang w:eastAsia="en-US"/>
              </w:rPr>
              <w:t>Operational</w:t>
            </w:r>
          </w:p>
          <w:p w14:paraId="7FC9D389" w14:textId="37662DC8" w:rsidR="00BA0218" w:rsidRPr="00095CEA" w:rsidRDefault="00BA0218" w:rsidP="00095CEA">
            <w:pPr>
              <w:pStyle w:val="ListParagraph"/>
              <w:numPr>
                <w:ilvl w:val="0"/>
                <w:numId w:val="16"/>
              </w:numPr>
              <w:spacing w:before="0" w:beforeAutospacing="0" w:after="0" w:afterAutospacing="0"/>
              <w:jc w:val="both"/>
              <w:rPr>
                <w:rFonts w:ascii="Arial" w:hAnsi="Arial" w:cs="Arial"/>
                <w:b/>
                <w:sz w:val="20"/>
                <w:szCs w:val="20"/>
              </w:rPr>
            </w:pPr>
            <w:r w:rsidRPr="00BD6A9F">
              <w:rPr>
                <w:rFonts w:ascii="Arial" w:eastAsia="Calibri" w:hAnsi="Arial" w:cs="Arial"/>
                <w:sz w:val="20"/>
                <w:szCs w:val="20"/>
              </w:rPr>
              <w:t>Contribute to the delivery of the Digital and Change (D&amp;C) strategy and to the development and delivery of IT strategy to plan, cost and quality</w:t>
            </w:r>
          </w:p>
          <w:p w14:paraId="79EE8F8B" w14:textId="38A2489E" w:rsidR="0007193F" w:rsidRPr="00095CEA" w:rsidRDefault="00D84FA2" w:rsidP="00095CEA">
            <w:pPr>
              <w:pStyle w:val="ListParagraph"/>
              <w:numPr>
                <w:ilvl w:val="0"/>
                <w:numId w:val="16"/>
              </w:numPr>
              <w:rPr>
                <w:rFonts w:ascii="Arial" w:eastAsia="Calibri" w:hAnsi="Arial" w:cs="Arial"/>
                <w:sz w:val="20"/>
                <w:szCs w:val="20"/>
              </w:rPr>
            </w:pPr>
            <w:r w:rsidRPr="003E5744">
              <w:rPr>
                <w:rFonts w:ascii="Arial" w:eastAsia="Calibri" w:hAnsi="Arial" w:cs="Arial"/>
                <w:sz w:val="20"/>
                <w:szCs w:val="20"/>
              </w:rPr>
              <w:t xml:space="preserve">Provide leadership across </w:t>
            </w:r>
            <w:r w:rsidR="00653F84">
              <w:rPr>
                <w:rFonts w:ascii="Arial" w:eastAsia="Calibri" w:hAnsi="Arial" w:cs="Arial"/>
                <w:sz w:val="20"/>
                <w:szCs w:val="20"/>
              </w:rPr>
              <w:t xml:space="preserve">Digital &amp; Change </w:t>
            </w:r>
            <w:r w:rsidRPr="003E5744">
              <w:rPr>
                <w:rFonts w:ascii="Arial" w:eastAsia="Calibri" w:hAnsi="Arial" w:cs="Arial"/>
                <w:sz w:val="20"/>
                <w:szCs w:val="20"/>
              </w:rPr>
              <w:t xml:space="preserve">and in particular </w:t>
            </w:r>
            <w:r w:rsidR="00653F84">
              <w:rPr>
                <w:rFonts w:ascii="Arial" w:eastAsia="Calibri" w:hAnsi="Arial" w:cs="Arial"/>
                <w:sz w:val="20"/>
                <w:szCs w:val="20"/>
              </w:rPr>
              <w:t>Service Delivery</w:t>
            </w:r>
            <w:r w:rsidRPr="003E5744">
              <w:rPr>
                <w:rFonts w:ascii="Arial" w:eastAsia="Calibri" w:hAnsi="Arial" w:cs="Arial"/>
                <w:sz w:val="20"/>
                <w:szCs w:val="20"/>
              </w:rPr>
              <w:t xml:space="preserve"> to deliver on the overall corporate strategy, business performance, leadership of teams that reinforces the desired culture and delivery of strategic priorities.</w:t>
            </w:r>
          </w:p>
          <w:p w14:paraId="0A887BCF" w14:textId="5BEA34B6" w:rsidR="000210EA" w:rsidRPr="00095CEA" w:rsidRDefault="00653F84" w:rsidP="00095CEA">
            <w:pPr>
              <w:pStyle w:val="ListParagraph"/>
              <w:numPr>
                <w:ilvl w:val="0"/>
                <w:numId w:val="16"/>
              </w:numPr>
              <w:rPr>
                <w:rFonts w:ascii="Arial" w:hAnsi="Arial" w:cs="Arial"/>
                <w:sz w:val="20"/>
                <w:szCs w:val="20"/>
              </w:rPr>
            </w:pPr>
            <w:r>
              <w:rPr>
                <w:rFonts w:ascii="Arial" w:eastAsia="Calibri" w:hAnsi="Arial" w:cs="Arial"/>
                <w:sz w:val="20"/>
                <w:szCs w:val="20"/>
              </w:rPr>
              <w:t xml:space="preserve">Lead the management </w:t>
            </w:r>
            <w:r w:rsidR="00145CD2">
              <w:rPr>
                <w:rFonts w:ascii="Arial" w:eastAsia="Calibri" w:hAnsi="Arial" w:cs="Arial"/>
                <w:sz w:val="20"/>
                <w:szCs w:val="20"/>
              </w:rPr>
              <w:t xml:space="preserve">and governance </w:t>
            </w:r>
            <w:r>
              <w:rPr>
                <w:rFonts w:ascii="Arial" w:eastAsia="Calibri" w:hAnsi="Arial" w:cs="Arial"/>
                <w:sz w:val="20"/>
                <w:szCs w:val="20"/>
              </w:rPr>
              <w:t>of vendors/suppliers</w:t>
            </w:r>
            <w:r w:rsidR="00BA0218">
              <w:rPr>
                <w:rFonts w:ascii="Arial" w:eastAsia="Calibri" w:hAnsi="Arial" w:cs="Arial"/>
                <w:sz w:val="20"/>
                <w:szCs w:val="20"/>
              </w:rPr>
              <w:t xml:space="preserve"> </w:t>
            </w:r>
            <w:r>
              <w:rPr>
                <w:rFonts w:ascii="Arial" w:eastAsia="Calibri" w:hAnsi="Arial" w:cs="Arial"/>
                <w:sz w:val="20"/>
                <w:szCs w:val="20"/>
              </w:rPr>
              <w:t>within Digital &amp; Change.</w:t>
            </w:r>
          </w:p>
          <w:p w14:paraId="6A40636F" w14:textId="336342D6" w:rsidR="00D84FA2" w:rsidRPr="00B86FFD" w:rsidRDefault="00653F84" w:rsidP="00B86FFD">
            <w:pPr>
              <w:pStyle w:val="ListParagraph"/>
              <w:numPr>
                <w:ilvl w:val="0"/>
                <w:numId w:val="13"/>
              </w:numPr>
              <w:rPr>
                <w:rFonts w:ascii="Arial" w:eastAsia="Calibri" w:hAnsi="Arial" w:cs="Arial"/>
                <w:sz w:val="20"/>
                <w:szCs w:val="20"/>
              </w:rPr>
            </w:pPr>
            <w:r>
              <w:rPr>
                <w:rFonts w:ascii="Arial" w:eastAsia="Calibri" w:hAnsi="Arial" w:cs="Arial"/>
                <w:sz w:val="20"/>
                <w:szCs w:val="20"/>
              </w:rPr>
              <w:t xml:space="preserve">Contribute to the evaluation, selection </w:t>
            </w:r>
            <w:r w:rsidRPr="00092EDF">
              <w:rPr>
                <w:rFonts w:ascii="Arial" w:eastAsia="Calibri" w:hAnsi="Arial" w:cs="Arial"/>
                <w:sz w:val="20"/>
                <w:szCs w:val="20"/>
              </w:rPr>
              <w:t>and onboarding</w:t>
            </w:r>
            <w:r>
              <w:rPr>
                <w:rFonts w:ascii="Arial" w:eastAsia="Calibri" w:hAnsi="Arial" w:cs="Arial"/>
                <w:sz w:val="20"/>
                <w:szCs w:val="20"/>
              </w:rPr>
              <w:t xml:space="preserve"> of new vendors/suppliers.  </w:t>
            </w:r>
          </w:p>
        </w:tc>
        <w:tc>
          <w:tcPr>
            <w:tcW w:w="4141" w:type="dxa"/>
          </w:tcPr>
          <w:p w14:paraId="43337AF5" w14:textId="77777777" w:rsidR="00C91CFA" w:rsidRPr="00B75089" w:rsidRDefault="00C91CFA" w:rsidP="00B75089">
            <w:pPr>
              <w:pStyle w:val="ListParagraph"/>
              <w:numPr>
                <w:ilvl w:val="0"/>
                <w:numId w:val="6"/>
              </w:numPr>
              <w:rPr>
                <w:rFonts w:ascii="Arial" w:eastAsia="Calibri" w:hAnsi="Arial" w:cs="Arial"/>
                <w:sz w:val="20"/>
                <w:szCs w:val="20"/>
              </w:rPr>
            </w:pPr>
            <w:r w:rsidRPr="00B75089">
              <w:rPr>
                <w:rFonts w:ascii="Arial" w:eastAsia="Calibri" w:hAnsi="Arial" w:cs="Arial"/>
                <w:sz w:val="20"/>
                <w:szCs w:val="20"/>
              </w:rPr>
              <w:t>Corporate Strategic priorities Vs plan</w:t>
            </w:r>
          </w:p>
          <w:p w14:paraId="2900D67B" w14:textId="77777777" w:rsidR="00644BB2" w:rsidRPr="00644BB2" w:rsidRDefault="00644BB2" w:rsidP="00644BB2">
            <w:pPr>
              <w:pStyle w:val="ListParagraph"/>
              <w:numPr>
                <w:ilvl w:val="0"/>
                <w:numId w:val="6"/>
              </w:numPr>
              <w:rPr>
                <w:rFonts w:ascii="Arial" w:eastAsia="Calibri" w:hAnsi="Arial" w:cs="Arial"/>
                <w:sz w:val="20"/>
                <w:szCs w:val="20"/>
              </w:rPr>
            </w:pPr>
            <w:r w:rsidRPr="00644BB2">
              <w:rPr>
                <w:rFonts w:ascii="Arial" w:eastAsia="Calibri" w:hAnsi="Arial" w:cs="Arial"/>
                <w:sz w:val="20"/>
                <w:szCs w:val="20"/>
              </w:rPr>
              <w:t>Division Plan delivery Vs plan</w:t>
            </w:r>
          </w:p>
          <w:p w14:paraId="2030FF7B" w14:textId="77777777" w:rsidR="00644BB2" w:rsidRPr="00644BB2" w:rsidRDefault="00644BB2" w:rsidP="00644BB2">
            <w:pPr>
              <w:pStyle w:val="ListParagraph"/>
              <w:numPr>
                <w:ilvl w:val="0"/>
                <w:numId w:val="6"/>
              </w:numPr>
              <w:rPr>
                <w:rFonts w:ascii="Arial" w:eastAsia="Calibri" w:hAnsi="Arial" w:cs="Arial"/>
                <w:sz w:val="20"/>
                <w:szCs w:val="20"/>
              </w:rPr>
            </w:pPr>
            <w:r w:rsidRPr="00644BB2">
              <w:rPr>
                <w:rFonts w:ascii="Arial" w:eastAsia="Calibri" w:hAnsi="Arial" w:cs="Arial"/>
                <w:sz w:val="20"/>
                <w:szCs w:val="20"/>
              </w:rPr>
              <w:t xml:space="preserve">Delivery of projects to plan </w:t>
            </w:r>
          </w:p>
          <w:p w14:paraId="12C5E083" w14:textId="77777777" w:rsidR="00D84FA2" w:rsidRPr="00D84FA2" w:rsidRDefault="00D84FA2" w:rsidP="00D84FA2">
            <w:pPr>
              <w:pStyle w:val="ListParagraph"/>
              <w:numPr>
                <w:ilvl w:val="0"/>
                <w:numId w:val="6"/>
              </w:numPr>
              <w:rPr>
                <w:rFonts w:ascii="Arial" w:eastAsia="Calibri" w:hAnsi="Arial" w:cs="Arial"/>
                <w:sz w:val="20"/>
                <w:szCs w:val="20"/>
              </w:rPr>
            </w:pPr>
            <w:r w:rsidRPr="00D84FA2">
              <w:rPr>
                <w:rFonts w:ascii="Arial" w:eastAsia="Calibri" w:hAnsi="Arial" w:cs="Arial"/>
                <w:sz w:val="20"/>
                <w:szCs w:val="20"/>
              </w:rPr>
              <w:t>MPS engagement index Vs plan</w:t>
            </w:r>
          </w:p>
          <w:p w14:paraId="4C42B85D" w14:textId="77777777" w:rsidR="00D84FA2" w:rsidRPr="00D84FA2" w:rsidRDefault="00D84FA2" w:rsidP="00D84FA2">
            <w:pPr>
              <w:pStyle w:val="ListParagraph"/>
              <w:numPr>
                <w:ilvl w:val="0"/>
                <w:numId w:val="6"/>
              </w:numPr>
              <w:rPr>
                <w:rFonts w:ascii="Arial" w:eastAsia="Calibri" w:hAnsi="Arial" w:cs="Arial"/>
                <w:sz w:val="20"/>
                <w:szCs w:val="20"/>
              </w:rPr>
            </w:pPr>
            <w:r w:rsidRPr="00D84FA2">
              <w:rPr>
                <w:rFonts w:ascii="Arial" w:eastAsia="Calibri" w:hAnsi="Arial" w:cs="Arial"/>
                <w:sz w:val="20"/>
                <w:szCs w:val="20"/>
              </w:rPr>
              <w:t>MPS leadership index Vs plan</w:t>
            </w:r>
          </w:p>
          <w:p w14:paraId="0B10D5DC" w14:textId="490C5214" w:rsidR="009E22D0" w:rsidRPr="0064329B" w:rsidRDefault="009E22D0" w:rsidP="0064329B">
            <w:pPr>
              <w:ind w:left="360"/>
              <w:rPr>
                <w:rFonts w:ascii="Arial" w:hAnsi="Arial" w:cs="Arial"/>
                <w:sz w:val="20"/>
                <w:szCs w:val="20"/>
              </w:rPr>
            </w:pPr>
          </w:p>
        </w:tc>
      </w:tr>
      <w:tr w:rsidR="009E22D0" w:rsidRPr="00B75089" w14:paraId="147B35A6" w14:textId="77777777" w:rsidTr="009E22D0">
        <w:trPr>
          <w:trHeight w:val="578"/>
        </w:trPr>
        <w:tc>
          <w:tcPr>
            <w:tcW w:w="6346" w:type="dxa"/>
          </w:tcPr>
          <w:p w14:paraId="483791A0" w14:textId="77777777" w:rsidR="009E22D0" w:rsidRPr="00644BB2" w:rsidRDefault="009E22D0" w:rsidP="00B75089">
            <w:pPr>
              <w:spacing w:line="240" w:lineRule="auto"/>
              <w:rPr>
                <w:rFonts w:ascii="Arial" w:eastAsia="Calibri" w:hAnsi="Arial" w:cs="Arial"/>
                <w:b/>
                <w:sz w:val="20"/>
                <w:szCs w:val="20"/>
                <w:lang w:eastAsia="en-US"/>
              </w:rPr>
            </w:pPr>
            <w:r w:rsidRPr="00644BB2">
              <w:rPr>
                <w:rFonts w:ascii="Arial" w:eastAsia="Calibri" w:hAnsi="Arial" w:cs="Arial"/>
                <w:b/>
                <w:sz w:val="20"/>
                <w:szCs w:val="20"/>
                <w:lang w:eastAsia="en-US"/>
              </w:rPr>
              <w:t>Financial</w:t>
            </w:r>
          </w:p>
          <w:p w14:paraId="71AEF433" w14:textId="7EEF7DAE" w:rsidR="00FD3AB2" w:rsidRPr="00F0142C" w:rsidRDefault="00FD3AB2" w:rsidP="00095CEA">
            <w:pPr>
              <w:pStyle w:val="ListParagraph"/>
              <w:numPr>
                <w:ilvl w:val="0"/>
                <w:numId w:val="15"/>
              </w:numPr>
              <w:rPr>
                <w:rFonts w:ascii="Arial" w:eastAsia="Calibri" w:hAnsi="Arial" w:cs="Arial"/>
                <w:sz w:val="20"/>
                <w:szCs w:val="20"/>
              </w:rPr>
            </w:pPr>
            <w:r w:rsidRPr="00F0142C">
              <w:rPr>
                <w:rFonts w:ascii="Arial" w:eastAsia="Calibri" w:hAnsi="Arial" w:cs="Arial"/>
                <w:sz w:val="20"/>
                <w:szCs w:val="20"/>
              </w:rPr>
              <w:t xml:space="preserve">Ensure that </w:t>
            </w:r>
            <w:r>
              <w:rPr>
                <w:rFonts w:ascii="Arial" w:eastAsia="Calibri" w:hAnsi="Arial" w:cs="Arial"/>
                <w:sz w:val="20"/>
                <w:szCs w:val="20"/>
              </w:rPr>
              <w:t>vendor/supplier spend is within contractual constraints</w:t>
            </w:r>
            <w:r w:rsidRPr="00F0142C">
              <w:rPr>
                <w:rFonts w:ascii="Arial" w:eastAsia="Calibri" w:hAnsi="Arial" w:cs="Arial"/>
                <w:sz w:val="20"/>
                <w:szCs w:val="20"/>
              </w:rPr>
              <w:t>.</w:t>
            </w:r>
          </w:p>
          <w:p w14:paraId="5FDB3000" w14:textId="65E7F1F3" w:rsidR="00FD3AB2" w:rsidRPr="0014144D" w:rsidRDefault="00FD3AB2" w:rsidP="00095CEA">
            <w:pPr>
              <w:pStyle w:val="ListParagraph"/>
              <w:numPr>
                <w:ilvl w:val="0"/>
                <w:numId w:val="15"/>
              </w:numPr>
              <w:rPr>
                <w:rFonts w:ascii="Arial" w:eastAsia="Calibri" w:hAnsi="Arial" w:cs="Arial"/>
                <w:sz w:val="20"/>
                <w:szCs w:val="20"/>
              </w:rPr>
            </w:pPr>
            <w:r w:rsidRPr="0014144D">
              <w:rPr>
                <w:rFonts w:ascii="Arial" w:eastAsia="Calibri" w:hAnsi="Arial" w:cs="Arial"/>
                <w:sz w:val="20"/>
                <w:szCs w:val="20"/>
              </w:rPr>
              <w:t xml:space="preserve">Support the </w:t>
            </w:r>
            <w:r w:rsidR="00095CEA">
              <w:rPr>
                <w:rFonts w:ascii="Arial" w:eastAsia="Calibri" w:hAnsi="Arial" w:cs="Arial"/>
                <w:sz w:val="20"/>
                <w:szCs w:val="20"/>
              </w:rPr>
              <w:t>Executive Director – D&amp;C</w:t>
            </w:r>
            <w:r w:rsidRPr="0014144D">
              <w:rPr>
                <w:rFonts w:ascii="Arial" w:eastAsia="Calibri" w:hAnsi="Arial" w:cs="Arial"/>
                <w:sz w:val="20"/>
                <w:szCs w:val="20"/>
              </w:rPr>
              <w:t xml:space="preserve"> </w:t>
            </w:r>
            <w:r w:rsidR="00095CEA">
              <w:rPr>
                <w:rFonts w:ascii="Arial" w:eastAsia="Calibri" w:hAnsi="Arial" w:cs="Arial"/>
                <w:sz w:val="20"/>
                <w:szCs w:val="20"/>
              </w:rPr>
              <w:t xml:space="preserve">and senior leadership team </w:t>
            </w:r>
            <w:r w:rsidRPr="0014144D">
              <w:rPr>
                <w:rFonts w:ascii="Arial" w:eastAsia="Calibri" w:hAnsi="Arial" w:cs="Arial"/>
                <w:sz w:val="20"/>
                <w:szCs w:val="20"/>
              </w:rPr>
              <w:t xml:space="preserve">in setting and tracking the annual </w:t>
            </w:r>
            <w:r>
              <w:rPr>
                <w:rFonts w:ascii="Arial" w:eastAsia="Calibri" w:hAnsi="Arial" w:cs="Arial"/>
                <w:sz w:val="20"/>
                <w:szCs w:val="20"/>
              </w:rPr>
              <w:t xml:space="preserve">vendor/supplier spend ensuring alignment to </w:t>
            </w:r>
            <w:r w:rsidRPr="0014144D">
              <w:rPr>
                <w:rFonts w:ascii="Arial" w:eastAsia="Calibri" w:hAnsi="Arial" w:cs="Arial"/>
                <w:sz w:val="20"/>
                <w:szCs w:val="20"/>
              </w:rPr>
              <w:t>finance and procurement processes/activities.</w:t>
            </w:r>
          </w:p>
          <w:p w14:paraId="4AB8B243" w14:textId="77777777" w:rsidR="009E22D0" w:rsidRDefault="00FD3AB2" w:rsidP="00095CEA">
            <w:pPr>
              <w:pStyle w:val="ListParagraph"/>
              <w:numPr>
                <w:ilvl w:val="0"/>
                <w:numId w:val="15"/>
              </w:numPr>
              <w:rPr>
                <w:rFonts w:ascii="Arial" w:eastAsia="Calibri" w:hAnsi="Arial" w:cs="Arial"/>
                <w:sz w:val="20"/>
                <w:szCs w:val="20"/>
              </w:rPr>
            </w:pPr>
            <w:r w:rsidRPr="00F0142C">
              <w:rPr>
                <w:rFonts w:ascii="Arial" w:eastAsia="Calibri" w:hAnsi="Arial" w:cs="Arial"/>
                <w:sz w:val="20"/>
                <w:szCs w:val="20"/>
              </w:rPr>
              <w:t>Coordinate and have input into the creation of business cases and justification for</w:t>
            </w:r>
            <w:r>
              <w:rPr>
                <w:rFonts w:ascii="Arial" w:eastAsia="Calibri" w:hAnsi="Arial" w:cs="Arial"/>
                <w:sz w:val="20"/>
                <w:szCs w:val="20"/>
              </w:rPr>
              <w:t xml:space="preserve"> vendor/supplier</w:t>
            </w:r>
            <w:r w:rsidRPr="00F0142C">
              <w:rPr>
                <w:rFonts w:ascii="Arial" w:eastAsia="Calibri" w:hAnsi="Arial" w:cs="Arial"/>
                <w:sz w:val="20"/>
                <w:szCs w:val="20"/>
              </w:rPr>
              <w:t xml:space="preserve"> expenditure</w:t>
            </w:r>
          </w:p>
          <w:p w14:paraId="597AFF6A" w14:textId="3D3BA94A" w:rsidR="00095CEA" w:rsidRPr="00B86FFD" w:rsidRDefault="00095CEA" w:rsidP="00B86FFD">
            <w:pPr>
              <w:pStyle w:val="Bullet-Table"/>
              <w:numPr>
                <w:ilvl w:val="0"/>
                <w:numId w:val="15"/>
              </w:numPr>
              <w:rPr>
                <w:rFonts w:ascii="Arial" w:hAnsi="Arial"/>
                <w:szCs w:val="20"/>
              </w:rPr>
            </w:pPr>
            <w:r>
              <w:rPr>
                <w:rFonts w:ascii="Arial" w:hAnsi="Arial"/>
                <w:szCs w:val="20"/>
              </w:rPr>
              <w:t xml:space="preserve">Contribute to the continuous improvement and maturity of MPS Vendor/Supplier management policies at MPS; and that </w:t>
            </w:r>
            <w:r w:rsidRPr="00145CD2">
              <w:rPr>
                <w:rFonts w:ascii="Arial" w:hAnsi="Arial"/>
                <w:szCs w:val="20"/>
              </w:rPr>
              <w:t xml:space="preserve">procedures are </w:t>
            </w:r>
            <w:r>
              <w:rPr>
                <w:rFonts w:ascii="Arial" w:hAnsi="Arial"/>
                <w:szCs w:val="20"/>
              </w:rPr>
              <w:t xml:space="preserve">understood and </w:t>
            </w:r>
            <w:r w:rsidRPr="00145CD2">
              <w:rPr>
                <w:rFonts w:ascii="Arial" w:hAnsi="Arial"/>
                <w:szCs w:val="20"/>
              </w:rPr>
              <w:t>adhered to by staff carrying out the tasks of supplier management and where appropriate initiate appropriate training to rectify any non-conformance</w:t>
            </w:r>
          </w:p>
        </w:tc>
        <w:tc>
          <w:tcPr>
            <w:tcW w:w="4141" w:type="dxa"/>
          </w:tcPr>
          <w:p w14:paraId="5EA57B38" w14:textId="77777777" w:rsidR="00644BB2" w:rsidRPr="00644BB2" w:rsidRDefault="00644BB2" w:rsidP="00644BB2">
            <w:pPr>
              <w:pStyle w:val="ListParagraph"/>
              <w:numPr>
                <w:ilvl w:val="0"/>
                <w:numId w:val="3"/>
              </w:numPr>
              <w:spacing w:after="0"/>
              <w:rPr>
                <w:rFonts w:ascii="Arial" w:hAnsi="Arial" w:cs="Arial"/>
                <w:sz w:val="20"/>
                <w:szCs w:val="20"/>
              </w:rPr>
            </w:pPr>
            <w:r w:rsidRPr="00644BB2">
              <w:rPr>
                <w:rFonts w:ascii="Arial" w:hAnsi="Arial" w:cs="Arial"/>
                <w:sz w:val="20"/>
                <w:szCs w:val="20"/>
              </w:rPr>
              <w:t>Operational budget Vs Plan</w:t>
            </w:r>
          </w:p>
          <w:p w14:paraId="0D74FAE6" w14:textId="77777777" w:rsidR="009E22D0" w:rsidRPr="00B75089" w:rsidRDefault="009E22D0" w:rsidP="00B75089">
            <w:pPr>
              <w:pStyle w:val="ListParagraph"/>
              <w:numPr>
                <w:ilvl w:val="0"/>
                <w:numId w:val="3"/>
              </w:numPr>
              <w:spacing w:after="0"/>
              <w:rPr>
                <w:rFonts w:ascii="Arial" w:hAnsi="Arial" w:cs="Arial"/>
                <w:sz w:val="20"/>
                <w:szCs w:val="20"/>
              </w:rPr>
            </w:pPr>
            <w:r w:rsidRPr="00B75089">
              <w:rPr>
                <w:rFonts w:ascii="Arial" w:hAnsi="Arial" w:cs="Arial"/>
                <w:sz w:val="20"/>
                <w:szCs w:val="20"/>
              </w:rPr>
              <w:t>Member numbers Vs plan</w:t>
            </w:r>
          </w:p>
          <w:p w14:paraId="0A91CFAC" w14:textId="77777777" w:rsidR="009E22D0" w:rsidRPr="00B75089" w:rsidRDefault="009E22D0" w:rsidP="00B75089">
            <w:pPr>
              <w:pStyle w:val="ListParagraph"/>
              <w:numPr>
                <w:ilvl w:val="0"/>
                <w:numId w:val="3"/>
              </w:numPr>
              <w:spacing w:after="0"/>
              <w:rPr>
                <w:rFonts w:ascii="Arial" w:hAnsi="Arial" w:cs="Arial"/>
                <w:sz w:val="20"/>
                <w:szCs w:val="20"/>
              </w:rPr>
            </w:pPr>
            <w:r w:rsidRPr="00B75089">
              <w:rPr>
                <w:rFonts w:ascii="Arial" w:hAnsi="Arial" w:cs="Arial"/>
                <w:sz w:val="20"/>
                <w:szCs w:val="20"/>
              </w:rPr>
              <w:t>Operational budget Vs Plan</w:t>
            </w:r>
          </w:p>
          <w:p w14:paraId="16D8C145" w14:textId="4D9A2A34" w:rsidR="009E22D0" w:rsidRPr="00B75089" w:rsidRDefault="009E22D0" w:rsidP="00095CEA">
            <w:pPr>
              <w:pStyle w:val="ListParagraph"/>
              <w:spacing w:after="0"/>
              <w:rPr>
                <w:rFonts w:ascii="Arial" w:hAnsi="Arial" w:cs="Arial"/>
                <w:sz w:val="20"/>
                <w:szCs w:val="20"/>
              </w:rPr>
            </w:pPr>
          </w:p>
        </w:tc>
      </w:tr>
      <w:tr w:rsidR="009E22D0" w:rsidRPr="00B75089" w14:paraId="5184BD5A" w14:textId="77777777" w:rsidTr="009E22D0">
        <w:trPr>
          <w:trHeight w:val="578"/>
        </w:trPr>
        <w:tc>
          <w:tcPr>
            <w:tcW w:w="6346" w:type="dxa"/>
          </w:tcPr>
          <w:p w14:paraId="55C5F0D2" w14:textId="77777777" w:rsidR="009E22D0" w:rsidRPr="00B75089" w:rsidRDefault="009E22D0" w:rsidP="00B75089">
            <w:pPr>
              <w:spacing w:line="240" w:lineRule="auto"/>
              <w:rPr>
                <w:rFonts w:ascii="Arial" w:hAnsi="Arial" w:cs="Arial"/>
                <w:b/>
                <w:sz w:val="20"/>
                <w:szCs w:val="20"/>
              </w:rPr>
            </w:pPr>
            <w:r w:rsidRPr="00B75089">
              <w:rPr>
                <w:rFonts w:ascii="Arial" w:hAnsi="Arial" w:cs="Arial"/>
                <w:b/>
                <w:sz w:val="20"/>
                <w:szCs w:val="20"/>
              </w:rPr>
              <w:t>Member</w:t>
            </w:r>
          </w:p>
          <w:p w14:paraId="25B495EE" w14:textId="39E6F3BA" w:rsidR="009E22D0" w:rsidRDefault="000565E7" w:rsidP="00092EDF">
            <w:pPr>
              <w:pStyle w:val="ListParagraph"/>
              <w:numPr>
                <w:ilvl w:val="0"/>
                <w:numId w:val="17"/>
              </w:numPr>
              <w:rPr>
                <w:rFonts w:ascii="Arial" w:hAnsi="Arial" w:cs="Arial"/>
                <w:sz w:val="20"/>
                <w:szCs w:val="20"/>
              </w:rPr>
            </w:pPr>
            <w:r w:rsidRPr="00FD3AB2">
              <w:rPr>
                <w:rFonts w:ascii="Arial" w:hAnsi="Arial" w:cs="Arial"/>
                <w:sz w:val="20"/>
                <w:szCs w:val="20"/>
              </w:rPr>
              <w:lastRenderedPageBreak/>
              <w:t>Monitor and provide robust challenge of emerging people risks and issues arising from business activities which fail to deliver appropriate and consistent outcomes for members or are likely to have a material adverse effect on the Group, its operation or financial security</w:t>
            </w:r>
          </w:p>
          <w:p w14:paraId="71DCD5D2" w14:textId="11B2EF94" w:rsidR="00092EDF" w:rsidRPr="008B6A18" w:rsidRDefault="00092EDF" w:rsidP="008B6A18">
            <w:pPr>
              <w:pStyle w:val="ListParagraph"/>
              <w:numPr>
                <w:ilvl w:val="0"/>
                <w:numId w:val="17"/>
              </w:numPr>
              <w:spacing w:before="0" w:beforeAutospacing="0" w:after="0" w:afterAutospacing="0"/>
              <w:rPr>
                <w:rFonts w:ascii="Arial" w:hAnsi="Arial" w:cs="Arial"/>
                <w:sz w:val="20"/>
                <w:szCs w:val="20"/>
              </w:rPr>
            </w:pPr>
            <w:r>
              <w:rPr>
                <w:rFonts w:ascii="Arial" w:hAnsi="Arial" w:cs="Arial"/>
                <w:sz w:val="20"/>
                <w:szCs w:val="20"/>
              </w:rPr>
              <w:t>Seek opportunities to</w:t>
            </w:r>
            <w:r w:rsidRPr="008F4BBC">
              <w:rPr>
                <w:rFonts w:ascii="Arial" w:hAnsi="Arial" w:cs="Arial"/>
                <w:sz w:val="20"/>
                <w:szCs w:val="20"/>
              </w:rPr>
              <w:t xml:space="preserve"> continuously improve ways of working and contribute to </w:t>
            </w:r>
            <w:r>
              <w:rPr>
                <w:rFonts w:ascii="Arial" w:hAnsi="Arial" w:cs="Arial"/>
                <w:sz w:val="20"/>
                <w:szCs w:val="20"/>
              </w:rPr>
              <w:t xml:space="preserve">team, department and </w:t>
            </w:r>
            <w:r w:rsidRPr="008F4BBC">
              <w:rPr>
                <w:rFonts w:ascii="Arial" w:hAnsi="Arial" w:cs="Arial"/>
                <w:sz w:val="20"/>
                <w:szCs w:val="20"/>
              </w:rPr>
              <w:t>divisional continuous improvement projects aimed to drive operational efficiency and great member experiences and outcomes</w:t>
            </w:r>
            <w:r w:rsidRPr="00A90316">
              <w:rPr>
                <w:rFonts w:ascii="Arial" w:hAnsi="Arial" w:cs="Arial"/>
                <w:sz w:val="20"/>
                <w:szCs w:val="20"/>
              </w:rPr>
              <w:t xml:space="preserve"> </w:t>
            </w:r>
          </w:p>
          <w:p w14:paraId="1BE89378" w14:textId="038D8DC1" w:rsidR="00092EDF" w:rsidRPr="000565E7" w:rsidRDefault="00092EDF" w:rsidP="00092EDF">
            <w:pPr>
              <w:pStyle w:val="ListParagraph"/>
              <w:numPr>
                <w:ilvl w:val="0"/>
                <w:numId w:val="17"/>
              </w:numPr>
              <w:rPr>
                <w:rFonts w:ascii="Arial" w:hAnsi="Arial" w:cs="Arial"/>
                <w:sz w:val="20"/>
                <w:szCs w:val="20"/>
              </w:rPr>
            </w:pPr>
            <w:r w:rsidRPr="00400A70">
              <w:rPr>
                <w:rFonts w:ascii="Arial" w:hAnsi="Arial" w:cs="Arial"/>
                <w:sz w:val="20"/>
                <w:szCs w:val="20"/>
              </w:rPr>
              <w:t xml:space="preserve">Always deliver fair </w:t>
            </w:r>
            <w:r w:rsidRPr="00D564D2">
              <w:rPr>
                <w:rFonts w:ascii="Arial" w:hAnsi="Arial" w:cs="Arial"/>
                <w:sz w:val="20"/>
                <w:szCs w:val="20"/>
              </w:rPr>
              <w:t xml:space="preserve">treatment and outcomes for members and compliance with associated policies and standards set out by Council, its </w:t>
            </w:r>
            <w:proofErr w:type="gramStart"/>
            <w:r w:rsidRPr="00D564D2">
              <w:rPr>
                <w:rFonts w:ascii="Arial" w:hAnsi="Arial" w:cs="Arial"/>
                <w:sz w:val="20"/>
                <w:szCs w:val="20"/>
              </w:rPr>
              <w:t>com</w:t>
            </w:r>
            <w:r w:rsidR="00B86FFD">
              <w:rPr>
                <w:rFonts w:ascii="Arial" w:hAnsi="Arial" w:cs="Arial"/>
                <w:sz w:val="20"/>
                <w:szCs w:val="20"/>
              </w:rPr>
              <w:t>m</w:t>
            </w:r>
            <w:r w:rsidRPr="00D564D2">
              <w:rPr>
                <w:rFonts w:ascii="Arial" w:hAnsi="Arial" w:cs="Arial"/>
                <w:sz w:val="20"/>
                <w:szCs w:val="20"/>
              </w:rPr>
              <w:t>i</w:t>
            </w:r>
            <w:r w:rsidR="00B86FFD">
              <w:rPr>
                <w:rFonts w:ascii="Arial" w:hAnsi="Arial" w:cs="Arial"/>
                <w:sz w:val="20"/>
                <w:szCs w:val="20"/>
              </w:rPr>
              <w:t>t</w:t>
            </w:r>
            <w:r w:rsidRPr="00D564D2">
              <w:rPr>
                <w:rFonts w:ascii="Arial" w:hAnsi="Arial" w:cs="Arial"/>
                <w:sz w:val="20"/>
                <w:szCs w:val="20"/>
              </w:rPr>
              <w:t>tees</w:t>
            </w:r>
            <w:proofErr w:type="gramEnd"/>
            <w:r w:rsidRPr="00D564D2">
              <w:rPr>
                <w:rFonts w:ascii="Arial" w:hAnsi="Arial" w:cs="Arial"/>
                <w:sz w:val="20"/>
                <w:szCs w:val="20"/>
              </w:rPr>
              <w:t xml:space="preserve"> and delegated authorities</w:t>
            </w:r>
            <w:r>
              <w:rPr>
                <w:rFonts w:ascii="Arial" w:hAnsi="Arial" w:cs="Arial"/>
                <w:sz w:val="20"/>
                <w:szCs w:val="20"/>
              </w:rPr>
              <w:t>.</w:t>
            </w:r>
          </w:p>
        </w:tc>
        <w:tc>
          <w:tcPr>
            <w:tcW w:w="4141" w:type="dxa"/>
          </w:tcPr>
          <w:p w14:paraId="65C7C8B2" w14:textId="77777777" w:rsidR="009E22D0" w:rsidRDefault="00644BB2" w:rsidP="00644BB2">
            <w:pPr>
              <w:pStyle w:val="ListParagraph"/>
              <w:numPr>
                <w:ilvl w:val="0"/>
                <w:numId w:val="3"/>
              </w:numPr>
              <w:spacing w:after="0"/>
              <w:rPr>
                <w:rFonts w:ascii="Arial" w:hAnsi="Arial" w:cs="Arial"/>
                <w:sz w:val="20"/>
                <w:szCs w:val="20"/>
              </w:rPr>
            </w:pPr>
            <w:r w:rsidRPr="00644BB2">
              <w:rPr>
                <w:rFonts w:ascii="Arial" w:hAnsi="Arial" w:cs="Arial"/>
                <w:sz w:val="20"/>
                <w:szCs w:val="20"/>
              </w:rPr>
              <w:lastRenderedPageBreak/>
              <w:t>Net promoter score</w:t>
            </w:r>
          </w:p>
          <w:p w14:paraId="2D3BCC69" w14:textId="77777777" w:rsidR="00092EDF" w:rsidRDefault="00092EDF" w:rsidP="00644BB2">
            <w:pPr>
              <w:pStyle w:val="ListParagraph"/>
              <w:numPr>
                <w:ilvl w:val="0"/>
                <w:numId w:val="3"/>
              </w:numPr>
              <w:spacing w:after="0"/>
              <w:rPr>
                <w:rFonts w:ascii="Arial" w:hAnsi="Arial" w:cs="Arial"/>
                <w:sz w:val="20"/>
                <w:szCs w:val="20"/>
              </w:rPr>
            </w:pPr>
            <w:r>
              <w:rPr>
                <w:rFonts w:ascii="Arial" w:hAnsi="Arial" w:cs="Arial"/>
                <w:sz w:val="20"/>
                <w:szCs w:val="20"/>
              </w:rPr>
              <w:t>Member Feedback</w:t>
            </w:r>
          </w:p>
          <w:p w14:paraId="446E2B6D" w14:textId="593C01C4" w:rsidR="00092EDF" w:rsidRPr="00644BB2" w:rsidRDefault="00092EDF" w:rsidP="00644BB2">
            <w:pPr>
              <w:pStyle w:val="ListParagraph"/>
              <w:numPr>
                <w:ilvl w:val="0"/>
                <w:numId w:val="3"/>
              </w:numPr>
              <w:spacing w:after="0"/>
              <w:rPr>
                <w:rFonts w:ascii="Arial" w:hAnsi="Arial" w:cs="Arial"/>
                <w:sz w:val="20"/>
                <w:szCs w:val="20"/>
              </w:rPr>
            </w:pPr>
            <w:r>
              <w:rPr>
                <w:rFonts w:ascii="Arial" w:hAnsi="Arial" w:cs="Arial"/>
                <w:sz w:val="20"/>
                <w:szCs w:val="20"/>
              </w:rPr>
              <w:lastRenderedPageBreak/>
              <w:t>Member Experience Scores</w:t>
            </w:r>
          </w:p>
        </w:tc>
      </w:tr>
      <w:tr w:rsidR="009E22D0" w:rsidRPr="00B75089" w14:paraId="04AF2500" w14:textId="77777777" w:rsidTr="009E22D0">
        <w:trPr>
          <w:trHeight w:val="591"/>
        </w:trPr>
        <w:tc>
          <w:tcPr>
            <w:tcW w:w="6346" w:type="dxa"/>
          </w:tcPr>
          <w:p w14:paraId="322F1B4B" w14:textId="38D6AA08" w:rsidR="00B86FFD" w:rsidRPr="00B86FFD" w:rsidRDefault="009E22D0" w:rsidP="00B86FFD">
            <w:pPr>
              <w:spacing w:line="240" w:lineRule="auto"/>
              <w:rPr>
                <w:rFonts w:ascii="Arial" w:hAnsi="Arial" w:cs="Arial"/>
                <w:b/>
                <w:sz w:val="20"/>
                <w:szCs w:val="20"/>
              </w:rPr>
            </w:pPr>
            <w:r w:rsidRPr="00B75089">
              <w:rPr>
                <w:rFonts w:ascii="Arial" w:hAnsi="Arial" w:cs="Arial"/>
                <w:b/>
                <w:sz w:val="20"/>
                <w:szCs w:val="20"/>
              </w:rPr>
              <w:lastRenderedPageBreak/>
              <w:t>People</w:t>
            </w:r>
          </w:p>
          <w:p w14:paraId="5436DDEB" w14:textId="3C4E262F" w:rsidR="00B86FFD" w:rsidRPr="009B62A1" w:rsidRDefault="00B86FFD" w:rsidP="00B86FFD">
            <w:pPr>
              <w:pStyle w:val="ListParagraph"/>
              <w:numPr>
                <w:ilvl w:val="0"/>
                <w:numId w:val="4"/>
              </w:numPr>
              <w:rPr>
                <w:rFonts w:ascii="Arial" w:hAnsi="Arial" w:cs="Arial"/>
                <w:sz w:val="20"/>
                <w:szCs w:val="20"/>
              </w:rPr>
            </w:pPr>
            <w:r w:rsidRPr="009B62A1">
              <w:rPr>
                <w:rFonts w:ascii="Arial" w:hAnsi="Arial" w:cs="Arial"/>
                <w:sz w:val="20"/>
                <w:szCs w:val="20"/>
              </w:rPr>
              <w:t xml:space="preserve">Provide strong leadership to ensure the training, competence, </w:t>
            </w:r>
            <w:proofErr w:type="gramStart"/>
            <w:r w:rsidRPr="009B62A1">
              <w:rPr>
                <w:rFonts w:ascii="Arial" w:hAnsi="Arial" w:cs="Arial"/>
                <w:sz w:val="20"/>
                <w:szCs w:val="20"/>
              </w:rPr>
              <w:t>performance</w:t>
            </w:r>
            <w:proofErr w:type="gramEnd"/>
            <w:r w:rsidRPr="009B62A1">
              <w:rPr>
                <w:rFonts w:ascii="Arial" w:hAnsi="Arial" w:cs="Arial"/>
                <w:sz w:val="20"/>
                <w:szCs w:val="20"/>
              </w:rPr>
              <w:t xml:space="preserve"> and engagement </w:t>
            </w:r>
            <w:r>
              <w:rPr>
                <w:rFonts w:ascii="Arial" w:hAnsi="Arial" w:cs="Arial"/>
                <w:sz w:val="20"/>
                <w:szCs w:val="20"/>
              </w:rPr>
              <w:t xml:space="preserve">of the IT Service Analyst </w:t>
            </w:r>
            <w:r w:rsidRPr="009B62A1">
              <w:rPr>
                <w:rFonts w:ascii="Arial" w:hAnsi="Arial" w:cs="Arial"/>
                <w:sz w:val="20"/>
                <w:szCs w:val="20"/>
              </w:rPr>
              <w:t xml:space="preserve">ensuring </w:t>
            </w:r>
            <w:r>
              <w:rPr>
                <w:rFonts w:ascii="Arial" w:hAnsi="Arial" w:cs="Arial"/>
                <w:sz w:val="20"/>
                <w:szCs w:val="20"/>
              </w:rPr>
              <w:t>they</w:t>
            </w:r>
            <w:r w:rsidRPr="009B62A1">
              <w:rPr>
                <w:rFonts w:ascii="Arial" w:hAnsi="Arial" w:cs="Arial"/>
                <w:sz w:val="20"/>
                <w:szCs w:val="20"/>
              </w:rPr>
              <w:t xml:space="preserve"> have clarity on their accountabilities and comply with all governance, policy standards and processes.</w:t>
            </w:r>
          </w:p>
          <w:p w14:paraId="57EC59C2" w14:textId="225DE2A5" w:rsidR="00B86FFD" w:rsidRPr="009B62A1" w:rsidRDefault="00B86FFD" w:rsidP="00B86FFD">
            <w:pPr>
              <w:pStyle w:val="ListParagraph"/>
              <w:numPr>
                <w:ilvl w:val="0"/>
                <w:numId w:val="4"/>
              </w:numPr>
              <w:rPr>
                <w:rFonts w:ascii="Arial" w:hAnsi="Arial" w:cs="Arial"/>
                <w:sz w:val="20"/>
                <w:szCs w:val="20"/>
              </w:rPr>
            </w:pPr>
            <w:r>
              <w:rPr>
                <w:rFonts w:ascii="Arial" w:hAnsi="Arial" w:cs="Arial"/>
                <w:sz w:val="20"/>
                <w:szCs w:val="20"/>
              </w:rPr>
              <w:t>Contribute with b</w:t>
            </w:r>
            <w:r w:rsidRPr="009B62A1">
              <w:rPr>
                <w:rFonts w:ascii="Arial" w:hAnsi="Arial" w:cs="Arial"/>
                <w:sz w:val="20"/>
                <w:szCs w:val="20"/>
              </w:rPr>
              <w:t>uild</w:t>
            </w:r>
            <w:r>
              <w:rPr>
                <w:rFonts w:ascii="Arial" w:hAnsi="Arial" w:cs="Arial"/>
                <w:sz w:val="20"/>
                <w:szCs w:val="20"/>
              </w:rPr>
              <w:t>ing</w:t>
            </w:r>
            <w:r w:rsidRPr="009B62A1">
              <w:rPr>
                <w:rFonts w:ascii="Arial" w:hAnsi="Arial" w:cs="Arial"/>
                <w:sz w:val="20"/>
                <w:szCs w:val="20"/>
              </w:rPr>
              <w:t xml:space="preserve"> a strong pipeline of talent and succession across </w:t>
            </w:r>
            <w:r>
              <w:rPr>
                <w:rFonts w:ascii="Arial" w:hAnsi="Arial" w:cs="Arial"/>
                <w:sz w:val="20"/>
                <w:szCs w:val="20"/>
              </w:rPr>
              <w:t>Digital and Change</w:t>
            </w:r>
            <w:r w:rsidRPr="009B62A1">
              <w:rPr>
                <w:rFonts w:ascii="Arial" w:hAnsi="Arial" w:cs="Arial"/>
                <w:sz w:val="20"/>
                <w:szCs w:val="20"/>
              </w:rPr>
              <w:t xml:space="preserve"> for the benefit of MPS which will mitigate workforce planning risks and maximises the performance and potential of employees</w:t>
            </w:r>
          </w:p>
          <w:p w14:paraId="40241D0A" w14:textId="593DC804" w:rsidR="00FD3AB2" w:rsidRPr="009342D9" w:rsidRDefault="00FD3AB2" w:rsidP="00B86FFD">
            <w:pPr>
              <w:pStyle w:val="ListParagraph"/>
              <w:numPr>
                <w:ilvl w:val="0"/>
                <w:numId w:val="4"/>
              </w:numPr>
              <w:spacing w:before="0" w:beforeAutospacing="0" w:after="0" w:afterAutospacing="0"/>
              <w:rPr>
                <w:rFonts w:ascii="Arial" w:eastAsia="Calibri" w:hAnsi="Arial" w:cs="Arial"/>
                <w:sz w:val="20"/>
                <w:szCs w:val="20"/>
              </w:rPr>
            </w:pPr>
            <w:r w:rsidRPr="009342D9">
              <w:rPr>
                <w:rFonts w:ascii="Arial" w:eastAsia="Calibri" w:hAnsi="Arial" w:cs="Arial"/>
                <w:sz w:val="20"/>
                <w:szCs w:val="20"/>
              </w:rPr>
              <w:t>Act as a role model for best practice in demonstrating prioritisation process to enable best allocation of resource to create a managed flow to ensure the right skills in the right place at the right time.</w:t>
            </w:r>
          </w:p>
          <w:p w14:paraId="447AD642" w14:textId="77777777" w:rsidR="00FD3AB2" w:rsidRPr="00BB3B57" w:rsidRDefault="00FD3AB2" w:rsidP="00B86FFD">
            <w:pPr>
              <w:pStyle w:val="ListParagraph"/>
              <w:numPr>
                <w:ilvl w:val="0"/>
                <w:numId w:val="4"/>
              </w:numPr>
              <w:spacing w:before="0" w:beforeAutospacing="0" w:after="0" w:afterAutospacing="0"/>
              <w:rPr>
                <w:rFonts w:ascii="Arial" w:eastAsia="Calibri" w:hAnsi="Arial" w:cs="Arial"/>
                <w:sz w:val="20"/>
                <w:szCs w:val="20"/>
              </w:rPr>
            </w:pPr>
            <w:r w:rsidRPr="00BB3B57">
              <w:rPr>
                <w:rFonts w:ascii="Arial" w:hAnsi="Arial" w:cs="Arial"/>
                <w:sz w:val="20"/>
                <w:szCs w:val="20"/>
              </w:rPr>
              <w:t>Develop colleague understanding of relevant processes and policies through on-going dialogue with colleagues and through periodic workshops.</w:t>
            </w:r>
          </w:p>
          <w:p w14:paraId="5AA59BE9" w14:textId="77777777" w:rsidR="00B978A6" w:rsidRDefault="00644BB2" w:rsidP="00B86FFD">
            <w:pPr>
              <w:pStyle w:val="ListParagraph"/>
              <w:numPr>
                <w:ilvl w:val="0"/>
                <w:numId w:val="4"/>
              </w:numPr>
              <w:rPr>
                <w:rFonts w:ascii="Arial" w:hAnsi="Arial" w:cs="Arial"/>
                <w:sz w:val="20"/>
                <w:szCs w:val="20"/>
              </w:rPr>
            </w:pPr>
            <w:r w:rsidRPr="00644BB2">
              <w:rPr>
                <w:rFonts w:ascii="Arial" w:hAnsi="Arial" w:cs="Arial"/>
                <w:sz w:val="20"/>
                <w:szCs w:val="20"/>
              </w:rPr>
              <w:t>Take personal accountability for own training, competence, performance and engagement of self and colleagues ensuring clarity on own accountabilities and comply with all governance, policy standards and processes.</w:t>
            </w:r>
          </w:p>
          <w:p w14:paraId="103C25EB" w14:textId="00FE9A0C" w:rsidR="00092EDF" w:rsidRPr="00B86FFD" w:rsidRDefault="00092EDF" w:rsidP="004337D6">
            <w:pPr>
              <w:pStyle w:val="ListParagraph"/>
              <w:numPr>
                <w:ilvl w:val="0"/>
                <w:numId w:val="4"/>
              </w:numPr>
              <w:spacing w:before="0" w:beforeAutospacing="0" w:after="0" w:afterAutospacing="0"/>
              <w:rPr>
                <w:rFonts w:ascii="Arial" w:eastAsia="Calibri" w:hAnsi="Arial" w:cs="Arial"/>
                <w:sz w:val="20"/>
                <w:szCs w:val="20"/>
              </w:rPr>
            </w:pPr>
            <w:r w:rsidRPr="00A90316">
              <w:rPr>
                <w:rFonts w:ascii="Arial" w:eastAsia="Calibri" w:hAnsi="Arial" w:cs="Arial"/>
                <w:sz w:val="20"/>
                <w:szCs w:val="20"/>
              </w:rPr>
              <w:t xml:space="preserve">Build key relationships with internal and external stakeholders as necessary, liaising on </w:t>
            </w:r>
            <w:r>
              <w:rPr>
                <w:rFonts w:ascii="Arial" w:eastAsia="Calibri" w:hAnsi="Arial" w:cs="Arial"/>
                <w:sz w:val="20"/>
                <w:szCs w:val="20"/>
              </w:rPr>
              <w:t>projects</w:t>
            </w:r>
            <w:r w:rsidRPr="00A90316">
              <w:rPr>
                <w:rFonts w:ascii="Arial" w:eastAsia="Calibri" w:hAnsi="Arial" w:cs="Arial"/>
                <w:sz w:val="20"/>
                <w:szCs w:val="20"/>
              </w:rPr>
              <w:t xml:space="preserve"> to enhance quality service and outcomes for members</w:t>
            </w:r>
          </w:p>
        </w:tc>
        <w:tc>
          <w:tcPr>
            <w:tcW w:w="4141" w:type="dxa"/>
          </w:tcPr>
          <w:p w14:paraId="599FE4AD" w14:textId="77777777" w:rsidR="00FD3AB2" w:rsidRPr="00BA746A" w:rsidRDefault="00FD3AB2" w:rsidP="00FD3AB2">
            <w:pPr>
              <w:pStyle w:val="ListParagraph"/>
              <w:numPr>
                <w:ilvl w:val="0"/>
                <w:numId w:val="4"/>
              </w:numPr>
              <w:tabs>
                <w:tab w:val="left" w:pos="3145"/>
              </w:tabs>
              <w:spacing w:after="0"/>
              <w:rPr>
                <w:rFonts w:ascii="Arial" w:hAnsi="Arial" w:cs="Arial"/>
                <w:sz w:val="20"/>
                <w:szCs w:val="20"/>
              </w:rPr>
            </w:pPr>
            <w:r w:rsidRPr="00BA746A">
              <w:rPr>
                <w:rFonts w:ascii="Arial" w:hAnsi="Arial" w:cs="Arial"/>
                <w:sz w:val="20"/>
                <w:szCs w:val="20"/>
              </w:rPr>
              <w:t>Compliance with Training and Competence Schemes</w:t>
            </w:r>
          </w:p>
          <w:p w14:paraId="6E875E2B" w14:textId="77777777" w:rsidR="00644BB2" w:rsidRPr="002D7ABB" w:rsidRDefault="00644BB2" w:rsidP="002D7ABB">
            <w:pPr>
              <w:pStyle w:val="ListParagraph"/>
              <w:numPr>
                <w:ilvl w:val="0"/>
                <w:numId w:val="4"/>
              </w:numPr>
              <w:tabs>
                <w:tab w:val="left" w:pos="3145"/>
              </w:tabs>
              <w:spacing w:after="0"/>
              <w:rPr>
                <w:rFonts w:ascii="Arial" w:hAnsi="Arial" w:cs="Arial"/>
                <w:sz w:val="20"/>
                <w:szCs w:val="20"/>
              </w:rPr>
            </w:pPr>
            <w:r w:rsidRPr="002D7ABB">
              <w:rPr>
                <w:rFonts w:ascii="Arial" w:hAnsi="Arial" w:cs="Arial"/>
                <w:sz w:val="20"/>
                <w:szCs w:val="20"/>
              </w:rPr>
              <w:t>Delivery of Personal Development Plan to plan</w:t>
            </w:r>
          </w:p>
          <w:p w14:paraId="5A34817E" w14:textId="3DE07873" w:rsidR="00644BB2" w:rsidRDefault="00644BB2" w:rsidP="00644BB2">
            <w:pPr>
              <w:pStyle w:val="ListParagraph"/>
              <w:numPr>
                <w:ilvl w:val="0"/>
                <w:numId w:val="4"/>
              </w:numPr>
              <w:tabs>
                <w:tab w:val="left" w:pos="3145"/>
              </w:tabs>
              <w:spacing w:after="0"/>
              <w:rPr>
                <w:rFonts w:ascii="Arial" w:hAnsi="Arial" w:cs="Arial"/>
                <w:sz w:val="20"/>
                <w:szCs w:val="20"/>
              </w:rPr>
            </w:pPr>
            <w:r w:rsidRPr="00644BB2">
              <w:rPr>
                <w:rFonts w:ascii="Arial" w:hAnsi="Arial" w:cs="Arial"/>
                <w:sz w:val="20"/>
                <w:szCs w:val="20"/>
              </w:rPr>
              <w:t>One to one / performance review meetings Vs Plan</w:t>
            </w:r>
          </w:p>
          <w:p w14:paraId="40710A4E" w14:textId="77777777" w:rsidR="00B86FFD" w:rsidRPr="009B62A1" w:rsidRDefault="00B86FFD" w:rsidP="00B86FFD">
            <w:pPr>
              <w:pStyle w:val="ListParagraph"/>
              <w:numPr>
                <w:ilvl w:val="0"/>
                <w:numId w:val="4"/>
              </w:numPr>
              <w:spacing w:after="0"/>
              <w:rPr>
                <w:rFonts w:ascii="Arial" w:hAnsi="Arial" w:cs="Arial"/>
                <w:sz w:val="20"/>
                <w:szCs w:val="20"/>
              </w:rPr>
            </w:pPr>
            <w:r w:rsidRPr="009B62A1">
              <w:rPr>
                <w:rFonts w:ascii="Arial" w:hAnsi="Arial" w:cs="Arial"/>
                <w:sz w:val="20"/>
                <w:szCs w:val="20"/>
              </w:rPr>
              <w:t>Engagement Index Vs MPS</w:t>
            </w:r>
          </w:p>
          <w:p w14:paraId="4BA53158" w14:textId="77777777" w:rsidR="00B86FFD" w:rsidRPr="009B62A1" w:rsidRDefault="00B86FFD" w:rsidP="00B86FFD">
            <w:pPr>
              <w:pStyle w:val="ListParagraph"/>
              <w:numPr>
                <w:ilvl w:val="0"/>
                <w:numId w:val="4"/>
              </w:numPr>
              <w:spacing w:after="0"/>
              <w:rPr>
                <w:rFonts w:ascii="Arial" w:hAnsi="Arial" w:cs="Arial"/>
                <w:sz w:val="20"/>
                <w:szCs w:val="20"/>
              </w:rPr>
            </w:pPr>
            <w:r w:rsidRPr="009B62A1">
              <w:rPr>
                <w:rFonts w:ascii="Arial" w:hAnsi="Arial" w:cs="Arial"/>
                <w:sz w:val="20"/>
                <w:szCs w:val="20"/>
              </w:rPr>
              <w:t>Leadership Index Vs MPS</w:t>
            </w:r>
          </w:p>
          <w:p w14:paraId="1B62E319" w14:textId="77777777" w:rsidR="00B86FFD" w:rsidRPr="009B62A1" w:rsidRDefault="00B86FFD" w:rsidP="00B86FFD">
            <w:pPr>
              <w:pStyle w:val="ListParagraph"/>
              <w:numPr>
                <w:ilvl w:val="0"/>
                <w:numId w:val="4"/>
              </w:numPr>
              <w:spacing w:after="0"/>
              <w:rPr>
                <w:rFonts w:ascii="Arial" w:hAnsi="Arial" w:cs="Arial"/>
                <w:sz w:val="20"/>
                <w:szCs w:val="20"/>
              </w:rPr>
            </w:pPr>
            <w:r w:rsidRPr="009B62A1">
              <w:rPr>
                <w:rFonts w:ascii="Arial" w:hAnsi="Arial" w:cs="Arial"/>
                <w:sz w:val="20"/>
                <w:szCs w:val="20"/>
              </w:rPr>
              <w:t>Strong Talent and Succession Plans</w:t>
            </w:r>
          </w:p>
          <w:p w14:paraId="6779A30D" w14:textId="3BAEFFAA" w:rsidR="00B86FFD" w:rsidRPr="00644BB2" w:rsidRDefault="00B86FFD" w:rsidP="00B86FFD">
            <w:pPr>
              <w:pStyle w:val="ListParagraph"/>
              <w:numPr>
                <w:ilvl w:val="0"/>
                <w:numId w:val="4"/>
              </w:numPr>
              <w:tabs>
                <w:tab w:val="left" w:pos="3145"/>
              </w:tabs>
              <w:spacing w:after="0"/>
              <w:rPr>
                <w:rFonts w:ascii="Arial" w:hAnsi="Arial" w:cs="Arial"/>
                <w:sz w:val="20"/>
                <w:szCs w:val="20"/>
              </w:rPr>
            </w:pPr>
            <w:r w:rsidRPr="009B62A1">
              <w:rPr>
                <w:rFonts w:ascii="Arial" w:hAnsi="Arial" w:cs="Arial"/>
                <w:sz w:val="20"/>
                <w:szCs w:val="20"/>
              </w:rPr>
              <w:t>HR Metrics – attrition, absence</w:t>
            </w:r>
            <w:r w:rsidRPr="009B62A1">
              <w:rPr>
                <w:rFonts w:ascii="Arial" w:hAnsi="Arial" w:cs="Arial"/>
                <w:sz w:val="20"/>
                <w:szCs w:val="20"/>
              </w:rPr>
              <w:tab/>
            </w:r>
          </w:p>
          <w:p w14:paraId="2B58B1F1" w14:textId="77777777" w:rsidR="009E22D0" w:rsidRPr="00B75089" w:rsidRDefault="009E22D0" w:rsidP="002D7ABB">
            <w:pPr>
              <w:pStyle w:val="ListParagraph"/>
              <w:tabs>
                <w:tab w:val="left" w:pos="3145"/>
              </w:tabs>
              <w:spacing w:after="0"/>
              <w:rPr>
                <w:rFonts w:ascii="Arial" w:hAnsi="Arial" w:cs="Arial"/>
                <w:sz w:val="20"/>
                <w:szCs w:val="20"/>
              </w:rPr>
            </w:pPr>
          </w:p>
        </w:tc>
      </w:tr>
      <w:tr w:rsidR="009E22D0" w:rsidRPr="00B75089" w14:paraId="4A7033C9" w14:textId="77777777" w:rsidTr="009E22D0">
        <w:trPr>
          <w:trHeight w:val="591"/>
        </w:trPr>
        <w:tc>
          <w:tcPr>
            <w:tcW w:w="6346" w:type="dxa"/>
          </w:tcPr>
          <w:p w14:paraId="4E2B1830" w14:textId="77777777" w:rsidR="009E22D0" w:rsidRPr="00B75089" w:rsidRDefault="009E22D0" w:rsidP="00B75089">
            <w:pPr>
              <w:spacing w:line="240" w:lineRule="auto"/>
              <w:rPr>
                <w:rFonts w:ascii="Arial" w:hAnsi="Arial" w:cs="Arial"/>
                <w:b/>
                <w:sz w:val="20"/>
                <w:szCs w:val="20"/>
              </w:rPr>
            </w:pPr>
            <w:r w:rsidRPr="00B75089">
              <w:rPr>
                <w:rFonts w:ascii="Arial" w:hAnsi="Arial" w:cs="Arial"/>
                <w:b/>
                <w:sz w:val="20"/>
                <w:szCs w:val="20"/>
              </w:rPr>
              <w:t>Risk</w:t>
            </w:r>
          </w:p>
          <w:p w14:paraId="724E8ECF" w14:textId="77777777" w:rsidR="00FD3AB2" w:rsidRDefault="00FD3AB2" w:rsidP="00FD3AB2">
            <w:pPr>
              <w:pStyle w:val="ListParagraph"/>
              <w:numPr>
                <w:ilvl w:val="0"/>
                <w:numId w:val="14"/>
              </w:numPr>
              <w:spacing w:before="0" w:beforeAutospacing="0" w:after="0" w:afterAutospacing="0"/>
              <w:rPr>
                <w:rFonts w:ascii="Arial" w:hAnsi="Arial" w:cs="Arial"/>
                <w:sz w:val="20"/>
                <w:szCs w:val="20"/>
              </w:rPr>
            </w:pPr>
            <w:r w:rsidRPr="00285E05">
              <w:rPr>
                <w:rFonts w:ascii="Arial" w:hAnsi="Arial" w:cs="Arial"/>
                <w:sz w:val="20"/>
                <w:szCs w:val="20"/>
              </w:rPr>
              <w:t>Ensure appropriate business processes and controls are in place to support Digital and Change activity within risk appetite; comply with policies and regulatory requirements (as applicable).</w:t>
            </w:r>
          </w:p>
          <w:p w14:paraId="4AC98FDD" w14:textId="77777777" w:rsidR="00FD3AB2" w:rsidRPr="008A4BEC" w:rsidRDefault="00FD3AB2" w:rsidP="00FD3AB2">
            <w:pPr>
              <w:pStyle w:val="ListParagraph"/>
              <w:numPr>
                <w:ilvl w:val="0"/>
                <w:numId w:val="14"/>
              </w:numPr>
              <w:spacing w:before="0" w:beforeAutospacing="0" w:after="0" w:afterAutospacing="0"/>
              <w:rPr>
                <w:rFonts w:ascii="Arial" w:hAnsi="Arial" w:cs="Arial"/>
                <w:sz w:val="20"/>
                <w:szCs w:val="20"/>
              </w:rPr>
            </w:pPr>
            <w:r w:rsidRPr="008A4BEC">
              <w:rPr>
                <w:rFonts w:ascii="Arial" w:hAnsi="Arial" w:cs="Arial"/>
                <w:sz w:val="20"/>
                <w:szCs w:val="20"/>
              </w:rPr>
              <w:t xml:space="preserve">Contribute to an environment where all colleagues in D&amp;C recognise the importance of adherence to policies and procedures, risk identification and management </w:t>
            </w:r>
          </w:p>
          <w:p w14:paraId="31A0E415" w14:textId="77777777" w:rsidR="00FD3AB2" w:rsidRPr="008A4BEC" w:rsidRDefault="00FD3AB2" w:rsidP="00FD3AB2">
            <w:pPr>
              <w:pStyle w:val="ListParagraph"/>
              <w:numPr>
                <w:ilvl w:val="0"/>
                <w:numId w:val="14"/>
              </w:numPr>
              <w:spacing w:before="0" w:beforeAutospacing="0" w:after="0" w:afterAutospacing="0"/>
              <w:rPr>
                <w:rFonts w:ascii="Arial" w:hAnsi="Arial" w:cs="Arial"/>
                <w:sz w:val="20"/>
                <w:szCs w:val="20"/>
              </w:rPr>
            </w:pPr>
            <w:r w:rsidRPr="008A4BEC">
              <w:rPr>
                <w:rFonts w:ascii="Arial" w:hAnsi="Arial" w:cs="Arial"/>
                <w:sz w:val="20"/>
                <w:szCs w:val="20"/>
              </w:rPr>
              <w:t xml:space="preserve">Identify and report risks and issues identified within D&amp;C and across MPS to enable resolution and mitigation of potential impact on MPS, members and colleagues. </w:t>
            </w:r>
          </w:p>
          <w:p w14:paraId="045AC875" w14:textId="77777777" w:rsidR="00FD3AB2" w:rsidRPr="008A4BEC" w:rsidRDefault="00FD3AB2" w:rsidP="00FD3AB2">
            <w:pPr>
              <w:pStyle w:val="ListParagraph"/>
              <w:numPr>
                <w:ilvl w:val="0"/>
                <w:numId w:val="14"/>
              </w:numPr>
              <w:spacing w:before="0" w:beforeAutospacing="0" w:after="0" w:afterAutospacing="0"/>
              <w:rPr>
                <w:rFonts w:ascii="Arial" w:hAnsi="Arial" w:cs="Arial"/>
                <w:sz w:val="20"/>
                <w:szCs w:val="20"/>
              </w:rPr>
            </w:pPr>
            <w:r w:rsidRPr="008A4BEC">
              <w:rPr>
                <w:rFonts w:ascii="Arial" w:hAnsi="Arial" w:cs="Arial"/>
                <w:sz w:val="20"/>
                <w:szCs w:val="20"/>
              </w:rPr>
              <w:t>Adhere to business processes and controls which are in place to manage the Department within risk appetite; comply with policies and regulatory requirements (as applicable)</w:t>
            </w:r>
          </w:p>
          <w:p w14:paraId="29C8E747" w14:textId="77777777" w:rsidR="00FD3AB2" w:rsidRPr="008A4BEC" w:rsidRDefault="00FD3AB2" w:rsidP="00FD3AB2">
            <w:pPr>
              <w:pStyle w:val="ListParagraph"/>
              <w:numPr>
                <w:ilvl w:val="0"/>
                <w:numId w:val="14"/>
              </w:numPr>
              <w:spacing w:before="0" w:beforeAutospacing="0" w:after="0" w:afterAutospacing="0"/>
              <w:rPr>
                <w:rFonts w:ascii="Arial" w:hAnsi="Arial" w:cs="Arial"/>
                <w:sz w:val="20"/>
                <w:szCs w:val="20"/>
              </w:rPr>
            </w:pPr>
            <w:r w:rsidRPr="008A4BEC">
              <w:rPr>
                <w:rFonts w:ascii="Arial" w:hAnsi="Arial" w:cs="Arial"/>
                <w:sz w:val="20"/>
                <w:szCs w:val="20"/>
              </w:rPr>
              <w:t>Comply with applicable professional ethical guidance, external regulation and all relevant internal policy and procedures, including those relating to health and safety, data protection and IT security.</w:t>
            </w:r>
          </w:p>
          <w:p w14:paraId="664BC333" w14:textId="0E39E25A" w:rsidR="009E22D0" w:rsidRPr="00644BB2" w:rsidRDefault="009E22D0" w:rsidP="00095CEA">
            <w:pPr>
              <w:pStyle w:val="ListParagraph"/>
              <w:rPr>
                <w:rFonts w:ascii="Arial" w:hAnsi="Arial" w:cs="Arial"/>
                <w:sz w:val="20"/>
                <w:szCs w:val="20"/>
              </w:rPr>
            </w:pPr>
          </w:p>
        </w:tc>
        <w:tc>
          <w:tcPr>
            <w:tcW w:w="4141" w:type="dxa"/>
          </w:tcPr>
          <w:p w14:paraId="45E29B94" w14:textId="77777777" w:rsidR="00FD3AB2" w:rsidRPr="00001783" w:rsidRDefault="00FD3AB2" w:rsidP="00FD3AB2">
            <w:pPr>
              <w:pStyle w:val="ListParagraph"/>
              <w:numPr>
                <w:ilvl w:val="0"/>
                <w:numId w:val="14"/>
              </w:numPr>
              <w:spacing w:after="0"/>
              <w:rPr>
                <w:rFonts w:ascii="Arial" w:hAnsi="Arial" w:cs="Arial"/>
                <w:sz w:val="20"/>
                <w:szCs w:val="20"/>
              </w:rPr>
            </w:pPr>
            <w:r w:rsidRPr="00001783">
              <w:rPr>
                <w:rFonts w:ascii="Arial" w:eastAsia="Calibri" w:hAnsi="Arial" w:cs="Arial"/>
                <w:sz w:val="20"/>
                <w:szCs w:val="20"/>
              </w:rPr>
              <w:t>Compliance with organisational Risk &amp; Control policies and processes</w:t>
            </w:r>
          </w:p>
          <w:p w14:paraId="21775628" w14:textId="77777777" w:rsidR="00FD3AB2" w:rsidRPr="00001783" w:rsidRDefault="00FD3AB2" w:rsidP="00FD3AB2">
            <w:pPr>
              <w:pStyle w:val="ListParagraph"/>
              <w:numPr>
                <w:ilvl w:val="0"/>
                <w:numId w:val="14"/>
              </w:numPr>
              <w:spacing w:after="0"/>
              <w:rPr>
                <w:rFonts w:ascii="Arial" w:hAnsi="Arial" w:cs="Arial"/>
                <w:sz w:val="20"/>
                <w:szCs w:val="20"/>
              </w:rPr>
            </w:pPr>
            <w:r w:rsidRPr="00001783">
              <w:rPr>
                <w:rFonts w:ascii="Arial" w:eastAsia="Calibri" w:hAnsi="Arial" w:cs="Arial"/>
                <w:sz w:val="20"/>
                <w:szCs w:val="20"/>
              </w:rPr>
              <w:t>Audit Actions completed in line with agreed management response</w:t>
            </w:r>
          </w:p>
          <w:p w14:paraId="3D2EE0BB" w14:textId="3ACF8308" w:rsidR="009E22D0" w:rsidRPr="00B75089" w:rsidRDefault="009E22D0" w:rsidP="00FD3AB2">
            <w:pPr>
              <w:pStyle w:val="ListParagraph"/>
              <w:rPr>
                <w:rFonts w:ascii="Arial" w:hAnsi="Arial" w:cs="Arial"/>
                <w:sz w:val="20"/>
                <w:szCs w:val="20"/>
              </w:rPr>
            </w:pPr>
          </w:p>
        </w:tc>
      </w:tr>
    </w:tbl>
    <w:p w14:paraId="5F2521CC" w14:textId="77777777" w:rsidR="00950C70" w:rsidRPr="00B75089" w:rsidRDefault="00950C70"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9E22D0" w:rsidRPr="00B75089" w14:paraId="56DA6E4E" w14:textId="77777777" w:rsidTr="00FF16B8">
        <w:trPr>
          <w:trHeight w:val="456"/>
        </w:trPr>
        <w:tc>
          <w:tcPr>
            <w:tcW w:w="10490" w:type="dxa"/>
            <w:shd w:val="clear" w:color="auto" w:fill="D9D9D9" w:themeFill="background1" w:themeFillShade="D9"/>
          </w:tcPr>
          <w:p w14:paraId="2DC39ED5"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44B10A06"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Responsibilities (</w:t>
            </w:r>
            <w:r w:rsidRPr="00B75089">
              <w:rPr>
                <w:rFonts w:ascii="Arial" w:hAnsi="Arial" w:cs="Arial"/>
                <w:b/>
                <w:sz w:val="20"/>
                <w:szCs w:val="20"/>
                <w:u w:val="single"/>
              </w:rPr>
              <w:t>R</w:t>
            </w:r>
            <w:r w:rsidRPr="00B75089">
              <w:rPr>
                <w:rFonts w:ascii="Arial" w:hAnsi="Arial" w:cs="Arial"/>
                <w:b/>
                <w:sz w:val="20"/>
                <w:szCs w:val="20"/>
              </w:rPr>
              <w:t>ACI)</w:t>
            </w:r>
          </w:p>
        </w:tc>
      </w:tr>
      <w:tr w:rsidR="009E22D0" w:rsidRPr="00B75089" w14:paraId="58AEC410" w14:textId="77777777" w:rsidTr="00FF16B8">
        <w:trPr>
          <w:trHeight w:val="693"/>
        </w:trPr>
        <w:tc>
          <w:tcPr>
            <w:tcW w:w="10490" w:type="dxa"/>
          </w:tcPr>
          <w:p w14:paraId="4B76D370" w14:textId="6B7F42DF" w:rsidR="00B425FF" w:rsidRDefault="00B425FF" w:rsidP="00BA0218">
            <w:pPr>
              <w:pStyle w:val="Bullet-Table"/>
              <w:tabs>
                <w:tab w:val="clear" w:pos="720"/>
                <w:tab w:val="num" w:pos="315"/>
              </w:tabs>
              <w:ind w:hanging="689"/>
              <w:jc w:val="both"/>
              <w:rPr>
                <w:rFonts w:ascii="Arial" w:hAnsi="Arial"/>
                <w:szCs w:val="20"/>
              </w:rPr>
            </w:pPr>
            <w:r>
              <w:rPr>
                <w:rFonts w:ascii="Arial" w:hAnsi="Arial"/>
                <w:szCs w:val="20"/>
              </w:rPr>
              <w:t xml:space="preserve">Support the </w:t>
            </w:r>
            <w:r w:rsidR="00F85E9A">
              <w:rPr>
                <w:rFonts w:ascii="Arial" w:hAnsi="Arial"/>
                <w:szCs w:val="20"/>
              </w:rPr>
              <w:t>transition of contract management to the central finance function</w:t>
            </w:r>
          </w:p>
          <w:p w14:paraId="21580044" w14:textId="62CBEEEB" w:rsidR="006A6881" w:rsidRPr="00145CD2" w:rsidRDefault="006A6881" w:rsidP="006A6881">
            <w:pPr>
              <w:pStyle w:val="Bullet-Table"/>
              <w:tabs>
                <w:tab w:val="clear" w:pos="720"/>
                <w:tab w:val="num" w:pos="315"/>
              </w:tabs>
              <w:ind w:hanging="689"/>
              <w:rPr>
                <w:rFonts w:ascii="Arial" w:hAnsi="Arial"/>
                <w:szCs w:val="20"/>
              </w:rPr>
            </w:pPr>
            <w:r w:rsidRPr="00145CD2">
              <w:rPr>
                <w:rFonts w:ascii="Arial" w:hAnsi="Arial"/>
                <w:szCs w:val="20"/>
              </w:rPr>
              <w:t>Assisting in the development of contracts or other documents for third party suppliers</w:t>
            </w:r>
            <w:r w:rsidR="001250BF">
              <w:rPr>
                <w:rFonts w:ascii="Arial" w:hAnsi="Arial"/>
                <w:szCs w:val="20"/>
              </w:rPr>
              <w:t xml:space="preserve"> in light with MPS procedures</w:t>
            </w:r>
            <w:r w:rsidR="00095CEA">
              <w:rPr>
                <w:rFonts w:ascii="Arial" w:hAnsi="Arial"/>
                <w:szCs w:val="20"/>
              </w:rPr>
              <w:t xml:space="preserve"> and alignment with those of the business (</w:t>
            </w:r>
            <w:proofErr w:type="spellStart"/>
            <w:r w:rsidR="00095CEA">
              <w:rPr>
                <w:rFonts w:ascii="Arial" w:hAnsi="Arial"/>
                <w:szCs w:val="20"/>
              </w:rPr>
              <w:t>eg</w:t>
            </w:r>
            <w:proofErr w:type="spellEnd"/>
            <w:r w:rsidR="00095CEA">
              <w:rPr>
                <w:rFonts w:ascii="Arial" w:hAnsi="Arial"/>
                <w:szCs w:val="20"/>
              </w:rPr>
              <w:t xml:space="preserve"> SLAs)</w:t>
            </w:r>
          </w:p>
          <w:p w14:paraId="47F5CE57" w14:textId="5180C6A6" w:rsidR="00773AEE" w:rsidRPr="00145CD2" w:rsidRDefault="00773AEE" w:rsidP="006A6881">
            <w:pPr>
              <w:pStyle w:val="Bullet-Table"/>
              <w:tabs>
                <w:tab w:val="clear" w:pos="720"/>
                <w:tab w:val="num" w:pos="315"/>
              </w:tabs>
              <w:ind w:left="315" w:hanging="284"/>
              <w:rPr>
                <w:rFonts w:ascii="Arial" w:hAnsi="Arial"/>
                <w:szCs w:val="20"/>
              </w:rPr>
            </w:pPr>
            <w:r w:rsidRPr="00773AEE">
              <w:rPr>
                <w:rFonts w:ascii="Arial" w:hAnsi="Arial"/>
                <w:szCs w:val="20"/>
              </w:rPr>
              <w:t xml:space="preserve">Facilitating cross functional communication and work efforts between Vendor Managers and </w:t>
            </w:r>
            <w:r>
              <w:rPr>
                <w:rFonts w:ascii="Arial" w:hAnsi="Arial"/>
                <w:szCs w:val="20"/>
              </w:rPr>
              <w:t>the Finance IT Category manager</w:t>
            </w:r>
            <w:r w:rsidRPr="00773AEE">
              <w:rPr>
                <w:rFonts w:ascii="Arial" w:hAnsi="Arial"/>
                <w:szCs w:val="20"/>
              </w:rPr>
              <w:t>.</w:t>
            </w:r>
          </w:p>
          <w:p w14:paraId="25A3E185" w14:textId="4D5B1D20" w:rsidR="006A6881" w:rsidRPr="00145CD2" w:rsidRDefault="004B6736" w:rsidP="006A6881">
            <w:pPr>
              <w:pStyle w:val="Bullet-Table"/>
              <w:tabs>
                <w:tab w:val="clear" w:pos="720"/>
                <w:tab w:val="num" w:pos="315"/>
              </w:tabs>
              <w:ind w:left="315" w:hanging="284"/>
              <w:rPr>
                <w:rFonts w:ascii="Arial" w:hAnsi="Arial"/>
                <w:szCs w:val="20"/>
              </w:rPr>
            </w:pPr>
            <w:r>
              <w:rPr>
                <w:rFonts w:ascii="Arial" w:hAnsi="Arial"/>
                <w:szCs w:val="20"/>
              </w:rPr>
              <w:t>Working with central procurement, e</w:t>
            </w:r>
            <w:r w:rsidR="00092EDF">
              <w:rPr>
                <w:rFonts w:ascii="Arial" w:hAnsi="Arial"/>
                <w:szCs w:val="20"/>
              </w:rPr>
              <w:t xml:space="preserve">nsure </w:t>
            </w:r>
            <w:r w:rsidR="006A6881" w:rsidRPr="00145CD2">
              <w:rPr>
                <w:rFonts w:ascii="Arial" w:hAnsi="Arial"/>
                <w:szCs w:val="20"/>
              </w:rPr>
              <w:t>that any</w:t>
            </w:r>
            <w:r w:rsidR="00092EDF">
              <w:rPr>
                <w:rFonts w:ascii="Arial" w:hAnsi="Arial"/>
                <w:szCs w:val="20"/>
              </w:rPr>
              <w:t xml:space="preserve"> contractual</w:t>
            </w:r>
            <w:r w:rsidR="006A6881" w:rsidRPr="00145CD2">
              <w:rPr>
                <w:rFonts w:ascii="Arial" w:hAnsi="Arial"/>
                <w:szCs w:val="20"/>
              </w:rPr>
              <w:t xml:space="preserve"> disputes are dealt with in an efficient and effective manner</w:t>
            </w:r>
          </w:p>
          <w:p w14:paraId="1B0F629E" w14:textId="77777777" w:rsidR="006A6881" w:rsidRPr="00145CD2" w:rsidRDefault="006A6881" w:rsidP="006A6881">
            <w:pPr>
              <w:pStyle w:val="Bullet-Table"/>
              <w:tabs>
                <w:tab w:val="clear" w:pos="720"/>
                <w:tab w:val="num" w:pos="315"/>
              </w:tabs>
              <w:ind w:hanging="689"/>
              <w:rPr>
                <w:rFonts w:ascii="Arial" w:hAnsi="Arial"/>
                <w:szCs w:val="20"/>
              </w:rPr>
            </w:pPr>
            <w:r w:rsidRPr="00145CD2">
              <w:rPr>
                <w:rFonts w:ascii="Arial" w:hAnsi="Arial"/>
                <w:szCs w:val="20"/>
              </w:rPr>
              <w:t>Maintaining a process for dealing with the expected end, early end or transfer of a service</w:t>
            </w:r>
          </w:p>
          <w:p w14:paraId="3846FCD3" w14:textId="25FE0C12" w:rsidR="006A6881" w:rsidRPr="00145CD2" w:rsidRDefault="006A6881" w:rsidP="006A6881">
            <w:pPr>
              <w:pStyle w:val="Bullet-Table"/>
              <w:tabs>
                <w:tab w:val="clear" w:pos="720"/>
                <w:tab w:val="num" w:pos="315"/>
              </w:tabs>
              <w:ind w:left="315" w:hanging="284"/>
              <w:rPr>
                <w:rFonts w:ascii="Arial" w:hAnsi="Arial"/>
                <w:szCs w:val="20"/>
              </w:rPr>
            </w:pPr>
            <w:r w:rsidRPr="00145CD2">
              <w:rPr>
                <w:rFonts w:ascii="Arial" w:hAnsi="Arial"/>
                <w:szCs w:val="20"/>
              </w:rPr>
              <w:t>Monitoring and reviewing supplier</w:t>
            </w:r>
            <w:r w:rsidR="00832E4E">
              <w:rPr>
                <w:rFonts w:ascii="Arial" w:hAnsi="Arial"/>
                <w:szCs w:val="20"/>
              </w:rPr>
              <w:t xml:space="preserve"> service</w:t>
            </w:r>
            <w:r w:rsidRPr="00145CD2">
              <w:rPr>
                <w:rFonts w:ascii="Arial" w:hAnsi="Arial"/>
                <w:szCs w:val="20"/>
              </w:rPr>
              <w:t xml:space="preserve"> performance against targets, identifying improvement actions as appropriate and ensuring these actions are implemented.</w:t>
            </w:r>
          </w:p>
          <w:p w14:paraId="7FEF473E" w14:textId="307C8857" w:rsidR="006A6881" w:rsidRDefault="006A6881" w:rsidP="006A6881">
            <w:pPr>
              <w:pStyle w:val="Bullet-Table"/>
              <w:tabs>
                <w:tab w:val="clear" w:pos="720"/>
                <w:tab w:val="num" w:pos="315"/>
              </w:tabs>
              <w:ind w:left="315" w:hanging="284"/>
              <w:rPr>
                <w:rFonts w:ascii="Arial" w:hAnsi="Arial"/>
                <w:szCs w:val="20"/>
              </w:rPr>
            </w:pPr>
            <w:r w:rsidRPr="00145CD2">
              <w:rPr>
                <w:rFonts w:ascii="Arial" w:hAnsi="Arial"/>
                <w:szCs w:val="20"/>
              </w:rPr>
              <w:t>Assist with the identification of new or changing supplier requirements, such as reviewing R</w:t>
            </w:r>
            <w:r w:rsidR="00BA0218" w:rsidRPr="00145CD2">
              <w:rPr>
                <w:rFonts w:ascii="Arial" w:hAnsi="Arial"/>
                <w:szCs w:val="20"/>
              </w:rPr>
              <w:t xml:space="preserve">equest </w:t>
            </w:r>
            <w:proofErr w:type="gramStart"/>
            <w:r w:rsidR="00BA0218" w:rsidRPr="00145CD2">
              <w:rPr>
                <w:rFonts w:ascii="Arial" w:hAnsi="Arial"/>
                <w:szCs w:val="20"/>
              </w:rPr>
              <w:t>For</w:t>
            </w:r>
            <w:proofErr w:type="gramEnd"/>
            <w:r w:rsidR="00BA0218" w:rsidRPr="00145CD2">
              <w:rPr>
                <w:rFonts w:ascii="Arial" w:hAnsi="Arial"/>
                <w:szCs w:val="20"/>
              </w:rPr>
              <w:t xml:space="preserve"> Change </w:t>
            </w:r>
            <w:r w:rsidRPr="00145CD2">
              <w:rPr>
                <w:rFonts w:ascii="Arial" w:hAnsi="Arial"/>
                <w:szCs w:val="20"/>
              </w:rPr>
              <w:t>to assess impact of changes on existing contracts</w:t>
            </w:r>
          </w:p>
          <w:p w14:paraId="34872BD3" w14:textId="5C40BF0D" w:rsidR="00784DBE" w:rsidRPr="00145CD2" w:rsidRDefault="00784DBE" w:rsidP="006A6881">
            <w:pPr>
              <w:pStyle w:val="Bullet-Table"/>
              <w:tabs>
                <w:tab w:val="clear" w:pos="720"/>
                <w:tab w:val="num" w:pos="315"/>
              </w:tabs>
              <w:ind w:left="315" w:hanging="284"/>
              <w:rPr>
                <w:rFonts w:ascii="Arial" w:hAnsi="Arial"/>
                <w:szCs w:val="20"/>
              </w:rPr>
            </w:pPr>
            <w:r w:rsidRPr="00784DBE">
              <w:rPr>
                <w:rFonts w:ascii="Arial" w:hAnsi="Arial"/>
                <w:szCs w:val="20"/>
              </w:rPr>
              <w:t>Managing performance and mitigating risk for vendors aligned to High risk services.</w:t>
            </w:r>
          </w:p>
          <w:p w14:paraId="198D1F2B" w14:textId="77777777" w:rsidR="006A6881" w:rsidRPr="00145CD2" w:rsidRDefault="006A6881" w:rsidP="006A6881">
            <w:pPr>
              <w:pStyle w:val="Bullet-Table"/>
              <w:tabs>
                <w:tab w:val="clear" w:pos="720"/>
                <w:tab w:val="num" w:pos="315"/>
              </w:tabs>
              <w:ind w:hanging="689"/>
              <w:rPr>
                <w:rFonts w:ascii="Arial" w:hAnsi="Arial"/>
                <w:szCs w:val="20"/>
              </w:rPr>
            </w:pPr>
            <w:r w:rsidRPr="00145CD2">
              <w:rPr>
                <w:rFonts w:ascii="Arial" w:hAnsi="Arial"/>
                <w:szCs w:val="20"/>
              </w:rPr>
              <w:t>Evaluate new suppliers, including performing risk assessments and business impact analyses.</w:t>
            </w:r>
          </w:p>
          <w:p w14:paraId="2D15EC02" w14:textId="1BF8E757" w:rsidR="006A6881" w:rsidRPr="00145CD2" w:rsidRDefault="00362494" w:rsidP="006A6881">
            <w:pPr>
              <w:pStyle w:val="Bullet-Table"/>
              <w:tabs>
                <w:tab w:val="clear" w:pos="720"/>
                <w:tab w:val="num" w:pos="315"/>
              </w:tabs>
              <w:ind w:hanging="689"/>
              <w:rPr>
                <w:rFonts w:ascii="Arial" w:hAnsi="Arial"/>
                <w:szCs w:val="20"/>
              </w:rPr>
            </w:pPr>
            <w:r>
              <w:rPr>
                <w:rFonts w:ascii="Arial" w:hAnsi="Arial"/>
                <w:szCs w:val="20"/>
              </w:rPr>
              <w:t xml:space="preserve">Contribute to the </w:t>
            </w:r>
            <w:r w:rsidR="006A6881" w:rsidRPr="00145CD2">
              <w:rPr>
                <w:rFonts w:ascii="Arial" w:hAnsi="Arial"/>
                <w:szCs w:val="20"/>
              </w:rPr>
              <w:t>categorisation of suppliers and contracts, including the identification of preferred suppliers</w:t>
            </w:r>
          </w:p>
          <w:p w14:paraId="484F6FC8" w14:textId="12FB76B0" w:rsidR="006A6881" w:rsidRPr="00145CD2" w:rsidRDefault="006A6881" w:rsidP="006A6881">
            <w:pPr>
              <w:pStyle w:val="Bullet-Table"/>
              <w:tabs>
                <w:tab w:val="clear" w:pos="720"/>
                <w:tab w:val="num" w:pos="315"/>
              </w:tabs>
              <w:ind w:left="315" w:hanging="284"/>
              <w:rPr>
                <w:rFonts w:ascii="Arial" w:hAnsi="Arial"/>
                <w:szCs w:val="20"/>
              </w:rPr>
            </w:pPr>
            <w:r w:rsidRPr="00145CD2">
              <w:rPr>
                <w:rFonts w:ascii="Arial" w:hAnsi="Arial"/>
                <w:szCs w:val="20"/>
              </w:rPr>
              <w:t xml:space="preserve">Hold supplier </w:t>
            </w:r>
            <w:r w:rsidR="00362494">
              <w:rPr>
                <w:rFonts w:ascii="Arial" w:hAnsi="Arial"/>
                <w:szCs w:val="20"/>
              </w:rPr>
              <w:t xml:space="preserve">service </w:t>
            </w:r>
            <w:r w:rsidRPr="00145CD2">
              <w:rPr>
                <w:rFonts w:ascii="Arial" w:hAnsi="Arial"/>
                <w:szCs w:val="20"/>
              </w:rPr>
              <w:t>review meetings on a regular basis, ensuring remedial actions are taken when deficiencies are identified</w:t>
            </w:r>
          </w:p>
          <w:p w14:paraId="6B6D3C4A" w14:textId="5CA82FD0" w:rsidR="009E22D0" w:rsidRPr="00B86FFD" w:rsidRDefault="006A6881" w:rsidP="00B75089">
            <w:pPr>
              <w:pStyle w:val="Bullet-Table"/>
              <w:tabs>
                <w:tab w:val="clear" w:pos="720"/>
                <w:tab w:val="num" w:pos="315"/>
              </w:tabs>
              <w:ind w:left="315" w:hanging="284"/>
              <w:rPr>
                <w:rFonts w:ascii="Arial" w:hAnsi="Arial"/>
                <w:szCs w:val="20"/>
              </w:rPr>
            </w:pPr>
            <w:r w:rsidRPr="00145CD2">
              <w:rPr>
                <w:rFonts w:ascii="Arial" w:hAnsi="Arial"/>
                <w:szCs w:val="20"/>
              </w:rPr>
              <w:t>Manage the scheduled end of term of a contract (including its renewal or cessation), or its early termination</w:t>
            </w:r>
          </w:p>
        </w:tc>
      </w:tr>
    </w:tbl>
    <w:p w14:paraId="43A48A48" w14:textId="77777777" w:rsidR="009E22D0" w:rsidRPr="00B75089" w:rsidRDefault="009E22D0"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5542D1" w:rsidRPr="00B75089" w14:paraId="2D699319" w14:textId="77777777" w:rsidTr="007F42E6">
        <w:trPr>
          <w:trHeight w:val="456"/>
        </w:trPr>
        <w:tc>
          <w:tcPr>
            <w:tcW w:w="10490" w:type="dxa"/>
            <w:shd w:val="clear" w:color="auto" w:fill="D9D9D9" w:themeFill="background1" w:themeFillShade="D9"/>
          </w:tcPr>
          <w:p w14:paraId="1A59B849" w14:textId="77777777" w:rsidR="005542D1" w:rsidRPr="00B75089" w:rsidRDefault="005542D1" w:rsidP="00B75089">
            <w:pPr>
              <w:widowControl w:val="0"/>
              <w:autoSpaceDE w:val="0"/>
              <w:autoSpaceDN w:val="0"/>
              <w:adjustRightInd w:val="0"/>
              <w:spacing w:before="3" w:after="0" w:line="240" w:lineRule="auto"/>
              <w:rPr>
                <w:rFonts w:ascii="Arial" w:hAnsi="Arial" w:cs="Arial"/>
                <w:b/>
                <w:sz w:val="20"/>
                <w:szCs w:val="20"/>
              </w:rPr>
            </w:pPr>
          </w:p>
          <w:p w14:paraId="7EFF90F9" w14:textId="77777777" w:rsidR="005542D1" w:rsidRPr="00B75089" w:rsidRDefault="005542D1"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Key Governance Responsibilities</w:t>
            </w:r>
          </w:p>
        </w:tc>
      </w:tr>
      <w:tr w:rsidR="005542D1" w:rsidRPr="00B75089" w14:paraId="1DA485FC" w14:textId="77777777" w:rsidTr="00B86FFD">
        <w:trPr>
          <w:trHeight w:val="389"/>
        </w:trPr>
        <w:tc>
          <w:tcPr>
            <w:tcW w:w="10490" w:type="dxa"/>
          </w:tcPr>
          <w:p w14:paraId="2CB45819" w14:textId="74AD8F72" w:rsidR="005542D1" w:rsidRPr="00B86FFD" w:rsidRDefault="00DF14D1" w:rsidP="00DF14D1">
            <w:pPr>
              <w:pStyle w:val="ListParagraph"/>
              <w:numPr>
                <w:ilvl w:val="0"/>
                <w:numId w:val="23"/>
              </w:numPr>
              <w:spacing w:after="0"/>
              <w:rPr>
                <w:rFonts w:ascii="Arial" w:hAnsi="Arial" w:cs="Arial"/>
                <w:sz w:val="20"/>
                <w:szCs w:val="20"/>
              </w:rPr>
            </w:pPr>
            <w:r w:rsidRPr="00DF14D1">
              <w:rPr>
                <w:rFonts w:ascii="Arial" w:hAnsi="Arial" w:cs="Arial"/>
                <w:sz w:val="20"/>
                <w:szCs w:val="20"/>
              </w:rPr>
              <w:t>Any necessary to undertake the accountabilities and responsibilities of the role</w:t>
            </w:r>
          </w:p>
        </w:tc>
      </w:tr>
    </w:tbl>
    <w:p w14:paraId="4BB4D24A" w14:textId="77777777" w:rsidR="005542D1" w:rsidRPr="00B75089" w:rsidRDefault="005542D1"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6008"/>
        <w:gridCol w:w="4482"/>
      </w:tblGrid>
      <w:tr w:rsidR="0056188D" w:rsidRPr="00B75089" w14:paraId="0AD6A624" w14:textId="77777777" w:rsidTr="00FF16B8">
        <w:trPr>
          <w:trHeight w:val="310"/>
        </w:trPr>
        <w:tc>
          <w:tcPr>
            <w:tcW w:w="6008" w:type="dxa"/>
            <w:shd w:val="clear" w:color="auto" w:fill="D9D9D9" w:themeFill="background1" w:themeFillShade="D9"/>
          </w:tcPr>
          <w:p w14:paraId="72F42E22" w14:textId="77777777" w:rsidR="0056188D" w:rsidRPr="00B75089" w:rsidRDefault="0056188D" w:rsidP="00B75089">
            <w:pPr>
              <w:widowControl w:val="0"/>
              <w:autoSpaceDE w:val="0"/>
              <w:autoSpaceDN w:val="0"/>
              <w:adjustRightInd w:val="0"/>
              <w:spacing w:before="3" w:after="0" w:line="240" w:lineRule="auto"/>
              <w:rPr>
                <w:rFonts w:ascii="Arial" w:hAnsi="Arial" w:cs="Arial"/>
                <w:b/>
                <w:sz w:val="20"/>
                <w:szCs w:val="20"/>
              </w:rPr>
            </w:pPr>
          </w:p>
          <w:p w14:paraId="1C9AB29C" w14:textId="77777777"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Leadership Framework Competencies</w:t>
            </w:r>
          </w:p>
        </w:tc>
        <w:tc>
          <w:tcPr>
            <w:tcW w:w="4482" w:type="dxa"/>
            <w:shd w:val="clear" w:color="auto" w:fill="D9D9D9" w:themeFill="background1" w:themeFillShade="D9"/>
          </w:tcPr>
          <w:p w14:paraId="75C2BFA5" w14:textId="77777777" w:rsidR="0056188D" w:rsidRPr="00B75089" w:rsidRDefault="0056188D" w:rsidP="00B75089">
            <w:pPr>
              <w:widowControl w:val="0"/>
              <w:autoSpaceDE w:val="0"/>
              <w:autoSpaceDN w:val="0"/>
              <w:adjustRightInd w:val="0"/>
              <w:spacing w:before="3" w:after="0" w:line="240" w:lineRule="auto"/>
              <w:rPr>
                <w:rFonts w:ascii="Arial" w:hAnsi="Arial" w:cs="Arial"/>
                <w:b/>
                <w:sz w:val="20"/>
                <w:szCs w:val="20"/>
              </w:rPr>
            </w:pPr>
          </w:p>
          <w:p w14:paraId="4BF82CAC" w14:textId="43CEECB2" w:rsidR="0056188D" w:rsidRPr="00FD3AB2"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Level</w:t>
            </w:r>
          </w:p>
        </w:tc>
      </w:tr>
      <w:tr w:rsidR="0056188D" w:rsidRPr="00B75089" w14:paraId="22F52BC9" w14:textId="77777777" w:rsidTr="00FF16B8">
        <w:trPr>
          <w:trHeight w:val="211"/>
        </w:trPr>
        <w:tc>
          <w:tcPr>
            <w:tcW w:w="6008" w:type="dxa"/>
          </w:tcPr>
          <w:p w14:paraId="67B07CE1" w14:textId="77777777" w:rsidR="0056188D" w:rsidRPr="00B75089" w:rsidRDefault="0056188D" w:rsidP="00B75089">
            <w:pPr>
              <w:spacing w:after="0" w:line="240" w:lineRule="auto"/>
              <w:rPr>
                <w:rFonts w:ascii="Arial" w:hAnsi="Arial" w:cs="Arial"/>
                <w:sz w:val="20"/>
                <w:szCs w:val="20"/>
              </w:rPr>
            </w:pPr>
            <w:r w:rsidRPr="00B75089">
              <w:rPr>
                <w:rFonts w:ascii="Arial" w:hAnsi="Arial" w:cs="Arial"/>
                <w:sz w:val="20"/>
                <w:szCs w:val="20"/>
              </w:rPr>
              <w:t>Fresh Thinking</w:t>
            </w:r>
          </w:p>
        </w:tc>
        <w:tc>
          <w:tcPr>
            <w:tcW w:w="4482" w:type="dxa"/>
          </w:tcPr>
          <w:p w14:paraId="78B3C0B7" w14:textId="05510DC2" w:rsidR="0056188D" w:rsidRPr="00B75089" w:rsidRDefault="00FD3AB2" w:rsidP="00B75089">
            <w:pPr>
              <w:spacing w:after="0" w:line="240" w:lineRule="auto"/>
              <w:rPr>
                <w:rFonts w:ascii="Arial" w:hAnsi="Arial" w:cs="Arial"/>
                <w:sz w:val="20"/>
                <w:szCs w:val="20"/>
              </w:rPr>
            </w:pPr>
            <w:r>
              <w:rPr>
                <w:rFonts w:ascii="Arial" w:hAnsi="Arial" w:cs="Arial"/>
                <w:sz w:val="20"/>
                <w:szCs w:val="20"/>
              </w:rPr>
              <w:t xml:space="preserve">Leading </w:t>
            </w:r>
            <w:r w:rsidR="00095CEA">
              <w:rPr>
                <w:rFonts w:ascii="Arial" w:hAnsi="Arial" w:cs="Arial"/>
                <w:sz w:val="20"/>
                <w:szCs w:val="20"/>
              </w:rPr>
              <w:t>Others</w:t>
            </w:r>
          </w:p>
        </w:tc>
      </w:tr>
      <w:tr w:rsidR="004D18E8" w:rsidRPr="00B75089" w14:paraId="5ECF7A79" w14:textId="77777777" w:rsidTr="00FF16B8">
        <w:trPr>
          <w:trHeight w:val="211"/>
        </w:trPr>
        <w:tc>
          <w:tcPr>
            <w:tcW w:w="6008" w:type="dxa"/>
          </w:tcPr>
          <w:p w14:paraId="329D88E0"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Building Capability</w:t>
            </w:r>
            <w:r w:rsidR="00711E46">
              <w:rPr>
                <w:rFonts w:ascii="Arial" w:hAnsi="Arial" w:cs="Arial"/>
                <w:sz w:val="20"/>
                <w:szCs w:val="20"/>
              </w:rPr>
              <w:t xml:space="preserve"> in Self and Others</w:t>
            </w:r>
          </w:p>
        </w:tc>
        <w:tc>
          <w:tcPr>
            <w:tcW w:w="4482" w:type="dxa"/>
          </w:tcPr>
          <w:p w14:paraId="6098BE75" w14:textId="0CA1F837" w:rsidR="004D18E8" w:rsidRPr="00B75089" w:rsidRDefault="00FD3AB2" w:rsidP="00B75089">
            <w:pPr>
              <w:spacing w:after="0" w:line="240" w:lineRule="auto"/>
              <w:rPr>
                <w:rFonts w:ascii="Arial" w:hAnsi="Arial" w:cs="Arial"/>
              </w:rPr>
            </w:pPr>
            <w:r>
              <w:rPr>
                <w:rFonts w:ascii="Arial" w:hAnsi="Arial" w:cs="Arial"/>
                <w:sz w:val="20"/>
                <w:szCs w:val="20"/>
              </w:rPr>
              <w:t xml:space="preserve">Leading </w:t>
            </w:r>
            <w:r w:rsidR="00095CEA">
              <w:rPr>
                <w:rFonts w:ascii="Arial" w:hAnsi="Arial" w:cs="Arial"/>
                <w:sz w:val="20"/>
                <w:szCs w:val="20"/>
              </w:rPr>
              <w:t>Others</w:t>
            </w:r>
          </w:p>
        </w:tc>
      </w:tr>
      <w:tr w:rsidR="004D18E8" w:rsidRPr="00B75089" w14:paraId="786AD663" w14:textId="77777777" w:rsidTr="00FF16B8">
        <w:trPr>
          <w:trHeight w:val="211"/>
        </w:trPr>
        <w:tc>
          <w:tcPr>
            <w:tcW w:w="6008" w:type="dxa"/>
          </w:tcPr>
          <w:p w14:paraId="589A6A58"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Influencing Others</w:t>
            </w:r>
          </w:p>
        </w:tc>
        <w:tc>
          <w:tcPr>
            <w:tcW w:w="4482" w:type="dxa"/>
          </w:tcPr>
          <w:p w14:paraId="36EE8B82" w14:textId="4E82C71F" w:rsidR="004D18E8" w:rsidRPr="00B75089" w:rsidRDefault="00FD3AB2" w:rsidP="00B75089">
            <w:pPr>
              <w:spacing w:after="0" w:line="240" w:lineRule="auto"/>
              <w:rPr>
                <w:rFonts w:ascii="Arial" w:hAnsi="Arial" w:cs="Arial"/>
              </w:rPr>
            </w:pPr>
            <w:r>
              <w:rPr>
                <w:rFonts w:ascii="Arial" w:hAnsi="Arial" w:cs="Arial"/>
                <w:sz w:val="20"/>
                <w:szCs w:val="20"/>
              </w:rPr>
              <w:t>Leading Others</w:t>
            </w:r>
          </w:p>
        </w:tc>
      </w:tr>
      <w:tr w:rsidR="004D18E8" w:rsidRPr="00B75089" w14:paraId="22343E17" w14:textId="77777777" w:rsidTr="00FF16B8">
        <w:trPr>
          <w:trHeight w:val="211"/>
        </w:trPr>
        <w:tc>
          <w:tcPr>
            <w:tcW w:w="6008" w:type="dxa"/>
          </w:tcPr>
          <w:p w14:paraId="35AF7DD7"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Collaborating</w:t>
            </w:r>
            <w:r w:rsidR="00711E46">
              <w:rPr>
                <w:rFonts w:ascii="Arial" w:hAnsi="Arial" w:cs="Arial"/>
                <w:sz w:val="20"/>
                <w:szCs w:val="20"/>
              </w:rPr>
              <w:t xml:space="preserve"> for Results</w:t>
            </w:r>
          </w:p>
        </w:tc>
        <w:tc>
          <w:tcPr>
            <w:tcW w:w="4482" w:type="dxa"/>
          </w:tcPr>
          <w:p w14:paraId="287B6DE9" w14:textId="4413CE37" w:rsidR="004D18E8" w:rsidRPr="00B75089" w:rsidRDefault="00FD3AB2" w:rsidP="00B75089">
            <w:pPr>
              <w:spacing w:after="0" w:line="240" w:lineRule="auto"/>
              <w:rPr>
                <w:rFonts w:ascii="Arial" w:hAnsi="Arial" w:cs="Arial"/>
              </w:rPr>
            </w:pPr>
            <w:r>
              <w:rPr>
                <w:rFonts w:ascii="Arial" w:hAnsi="Arial" w:cs="Arial"/>
                <w:sz w:val="20"/>
                <w:szCs w:val="20"/>
              </w:rPr>
              <w:t>Leading Others</w:t>
            </w:r>
          </w:p>
        </w:tc>
      </w:tr>
      <w:tr w:rsidR="004D18E8" w:rsidRPr="00B75089" w14:paraId="6188AA10" w14:textId="77777777" w:rsidTr="00FF16B8">
        <w:trPr>
          <w:trHeight w:val="211"/>
        </w:trPr>
        <w:tc>
          <w:tcPr>
            <w:tcW w:w="6008" w:type="dxa"/>
          </w:tcPr>
          <w:p w14:paraId="493EC5E8"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Leading Self and Others</w:t>
            </w:r>
          </w:p>
        </w:tc>
        <w:tc>
          <w:tcPr>
            <w:tcW w:w="4482" w:type="dxa"/>
          </w:tcPr>
          <w:p w14:paraId="083B2F0D" w14:textId="3DD2028B" w:rsidR="004D18E8" w:rsidRPr="00B75089" w:rsidRDefault="00FD3AB2" w:rsidP="00B75089">
            <w:pPr>
              <w:spacing w:after="0" w:line="240" w:lineRule="auto"/>
              <w:rPr>
                <w:rFonts w:ascii="Arial" w:hAnsi="Arial" w:cs="Arial"/>
              </w:rPr>
            </w:pPr>
            <w:r>
              <w:rPr>
                <w:rFonts w:ascii="Arial" w:hAnsi="Arial" w:cs="Arial"/>
                <w:sz w:val="20"/>
                <w:szCs w:val="20"/>
              </w:rPr>
              <w:t xml:space="preserve">Leading </w:t>
            </w:r>
            <w:r w:rsidR="00095CEA">
              <w:rPr>
                <w:rFonts w:ascii="Arial" w:hAnsi="Arial" w:cs="Arial"/>
                <w:sz w:val="20"/>
                <w:szCs w:val="20"/>
              </w:rPr>
              <w:t>Others</w:t>
            </w:r>
          </w:p>
        </w:tc>
      </w:tr>
      <w:tr w:rsidR="004D18E8" w:rsidRPr="00B75089" w14:paraId="7D5A68A2" w14:textId="77777777" w:rsidTr="00FF16B8">
        <w:trPr>
          <w:trHeight w:val="211"/>
        </w:trPr>
        <w:tc>
          <w:tcPr>
            <w:tcW w:w="6008" w:type="dxa"/>
          </w:tcPr>
          <w:p w14:paraId="52F10552"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Commercial and Risk</w:t>
            </w:r>
            <w:r w:rsidR="00711E46">
              <w:rPr>
                <w:rFonts w:ascii="Arial" w:hAnsi="Arial" w:cs="Arial"/>
                <w:sz w:val="20"/>
                <w:szCs w:val="20"/>
              </w:rPr>
              <w:t xml:space="preserve"> Thinking </w:t>
            </w:r>
          </w:p>
        </w:tc>
        <w:tc>
          <w:tcPr>
            <w:tcW w:w="4482" w:type="dxa"/>
          </w:tcPr>
          <w:p w14:paraId="03660F02" w14:textId="08BBA066" w:rsidR="004D18E8" w:rsidRPr="00B75089" w:rsidRDefault="00FD3AB2" w:rsidP="00B75089">
            <w:pPr>
              <w:spacing w:after="0" w:line="240" w:lineRule="auto"/>
              <w:rPr>
                <w:rFonts w:ascii="Arial" w:hAnsi="Arial" w:cs="Arial"/>
              </w:rPr>
            </w:pPr>
            <w:r>
              <w:rPr>
                <w:rFonts w:ascii="Arial" w:hAnsi="Arial" w:cs="Arial"/>
                <w:sz w:val="20"/>
                <w:szCs w:val="20"/>
              </w:rPr>
              <w:t xml:space="preserve">Leading </w:t>
            </w:r>
            <w:r w:rsidR="00095CEA">
              <w:rPr>
                <w:rFonts w:ascii="Arial" w:hAnsi="Arial" w:cs="Arial"/>
                <w:sz w:val="20"/>
                <w:szCs w:val="20"/>
              </w:rPr>
              <w:t>Others</w:t>
            </w:r>
          </w:p>
        </w:tc>
      </w:tr>
    </w:tbl>
    <w:tbl>
      <w:tblPr>
        <w:tblStyle w:val="TableGrid1"/>
        <w:tblpPr w:leftFromText="180" w:rightFromText="180" w:vertAnchor="text" w:horzAnchor="page" w:tblpX="1125" w:tblpY="500"/>
        <w:tblW w:w="10456" w:type="dxa"/>
        <w:tblLook w:val="04A0" w:firstRow="1" w:lastRow="0" w:firstColumn="1" w:lastColumn="0" w:noHBand="0" w:noVBand="1"/>
      </w:tblPr>
      <w:tblGrid>
        <w:gridCol w:w="460"/>
        <w:gridCol w:w="2654"/>
        <w:gridCol w:w="3969"/>
        <w:gridCol w:w="3373"/>
      </w:tblGrid>
      <w:tr w:rsidR="00FF16B8" w:rsidRPr="00B75089" w14:paraId="7B044289" w14:textId="77777777" w:rsidTr="00DF14D1">
        <w:trPr>
          <w:trHeight w:val="222"/>
        </w:trPr>
        <w:tc>
          <w:tcPr>
            <w:tcW w:w="460" w:type="dxa"/>
            <w:shd w:val="clear" w:color="auto" w:fill="D9D9D9" w:themeFill="background1" w:themeFillShade="D9"/>
          </w:tcPr>
          <w:p w14:paraId="106D15CD"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 xml:space="preserve"> </w:t>
            </w:r>
          </w:p>
        </w:tc>
        <w:tc>
          <w:tcPr>
            <w:tcW w:w="2654" w:type="dxa"/>
            <w:shd w:val="clear" w:color="auto" w:fill="D9D9D9" w:themeFill="background1" w:themeFillShade="D9"/>
          </w:tcPr>
          <w:p w14:paraId="43EA1232"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Knowledge and Qualifications</w:t>
            </w:r>
          </w:p>
        </w:tc>
        <w:tc>
          <w:tcPr>
            <w:tcW w:w="3969" w:type="dxa"/>
            <w:shd w:val="clear" w:color="auto" w:fill="D9D9D9" w:themeFill="background1" w:themeFillShade="D9"/>
          </w:tcPr>
          <w:p w14:paraId="05C8CEE6"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Skills</w:t>
            </w:r>
          </w:p>
        </w:tc>
        <w:tc>
          <w:tcPr>
            <w:tcW w:w="3373" w:type="dxa"/>
            <w:shd w:val="clear" w:color="auto" w:fill="D9D9D9" w:themeFill="background1" w:themeFillShade="D9"/>
          </w:tcPr>
          <w:p w14:paraId="03B61304"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Experience</w:t>
            </w:r>
          </w:p>
        </w:tc>
      </w:tr>
      <w:tr w:rsidR="00FF16B8" w:rsidRPr="00B75089" w14:paraId="279E8131" w14:textId="77777777" w:rsidTr="00DF14D1">
        <w:trPr>
          <w:cantSplit/>
          <w:trHeight w:val="2063"/>
        </w:trPr>
        <w:tc>
          <w:tcPr>
            <w:tcW w:w="460" w:type="dxa"/>
            <w:shd w:val="clear" w:color="auto" w:fill="D9D9D9" w:themeFill="background1" w:themeFillShade="D9"/>
            <w:textDirection w:val="btLr"/>
          </w:tcPr>
          <w:p w14:paraId="6D7989E9" w14:textId="77777777" w:rsidR="00E40AC5" w:rsidRPr="00B75089" w:rsidRDefault="00E40AC5" w:rsidP="00B75089">
            <w:pPr>
              <w:spacing w:after="0" w:line="240" w:lineRule="auto"/>
              <w:ind w:left="113" w:right="113"/>
              <w:jc w:val="center"/>
              <w:rPr>
                <w:rFonts w:ascii="Arial" w:hAnsi="Arial" w:cs="Arial"/>
                <w:b/>
                <w:sz w:val="20"/>
                <w:szCs w:val="20"/>
              </w:rPr>
            </w:pPr>
            <w:r w:rsidRPr="00B75089">
              <w:rPr>
                <w:rFonts w:ascii="Arial" w:hAnsi="Arial" w:cs="Arial"/>
                <w:b/>
                <w:sz w:val="20"/>
                <w:szCs w:val="20"/>
              </w:rPr>
              <w:t>Essential</w:t>
            </w:r>
          </w:p>
        </w:tc>
        <w:tc>
          <w:tcPr>
            <w:tcW w:w="2654" w:type="dxa"/>
          </w:tcPr>
          <w:p w14:paraId="5AD95003" w14:textId="77777777" w:rsidR="00BA0218" w:rsidRPr="00BA0218" w:rsidRDefault="00BA0218" w:rsidP="00BA0218">
            <w:pPr>
              <w:pStyle w:val="Bullet-Table"/>
              <w:numPr>
                <w:ilvl w:val="0"/>
                <w:numId w:val="5"/>
              </w:numPr>
              <w:rPr>
                <w:rFonts w:ascii="Arial" w:hAnsi="Arial"/>
                <w:szCs w:val="20"/>
              </w:rPr>
            </w:pPr>
            <w:r w:rsidRPr="00BA0218">
              <w:rPr>
                <w:rFonts w:ascii="Arial" w:hAnsi="Arial"/>
                <w:szCs w:val="20"/>
              </w:rPr>
              <w:t>ITIL Service Capability – Service Offerings &amp; Agreements</w:t>
            </w:r>
          </w:p>
          <w:p w14:paraId="5DDF5848" w14:textId="77777777" w:rsidR="00BA0218" w:rsidRPr="00BA0218" w:rsidRDefault="00BA0218" w:rsidP="00BA0218">
            <w:pPr>
              <w:pStyle w:val="Bullet-Table"/>
              <w:numPr>
                <w:ilvl w:val="0"/>
                <w:numId w:val="5"/>
              </w:numPr>
              <w:rPr>
                <w:rFonts w:ascii="Arial" w:hAnsi="Arial"/>
                <w:szCs w:val="20"/>
              </w:rPr>
            </w:pPr>
            <w:r w:rsidRPr="00BA0218">
              <w:rPr>
                <w:rFonts w:ascii="Arial" w:hAnsi="Arial"/>
                <w:szCs w:val="20"/>
              </w:rPr>
              <w:t>ITIL Service Lifecycle – Service Design</w:t>
            </w:r>
          </w:p>
          <w:p w14:paraId="6AACB17E" w14:textId="77777777" w:rsidR="00E40AC5" w:rsidRPr="00B75089" w:rsidRDefault="00E40AC5" w:rsidP="00BA0218">
            <w:pPr>
              <w:pStyle w:val="ListParagraph"/>
              <w:spacing w:after="0"/>
              <w:rPr>
                <w:rFonts w:ascii="Arial" w:eastAsia="Calibri" w:hAnsi="Arial" w:cs="Arial"/>
                <w:b/>
                <w:sz w:val="20"/>
                <w:szCs w:val="20"/>
              </w:rPr>
            </w:pPr>
          </w:p>
        </w:tc>
        <w:tc>
          <w:tcPr>
            <w:tcW w:w="3969" w:type="dxa"/>
          </w:tcPr>
          <w:p w14:paraId="110E2709" w14:textId="77777777" w:rsidR="00DF14D1" w:rsidRDefault="00DF14D1" w:rsidP="00DF14D1">
            <w:pPr>
              <w:pStyle w:val="Bullet-Table"/>
              <w:numPr>
                <w:ilvl w:val="0"/>
                <w:numId w:val="5"/>
              </w:numPr>
              <w:rPr>
                <w:rFonts w:ascii="Arial" w:hAnsi="Arial"/>
                <w:szCs w:val="20"/>
              </w:rPr>
            </w:pPr>
            <w:r w:rsidRPr="00DF14D1">
              <w:rPr>
                <w:rFonts w:ascii="Arial" w:hAnsi="Arial"/>
                <w:szCs w:val="20"/>
              </w:rPr>
              <w:t xml:space="preserve">Good negotiating skills, especially when determining the contents of new contracts or managing contractual disputes </w:t>
            </w:r>
          </w:p>
          <w:p w14:paraId="37E6CAE6" w14:textId="7116C19A" w:rsidR="00DF14D1" w:rsidRPr="00DF14D1" w:rsidRDefault="00DF14D1" w:rsidP="00DF14D1">
            <w:pPr>
              <w:pStyle w:val="Bullet-Table"/>
              <w:numPr>
                <w:ilvl w:val="0"/>
                <w:numId w:val="5"/>
              </w:numPr>
              <w:rPr>
                <w:rFonts w:ascii="Arial" w:hAnsi="Arial"/>
                <w:szCs w:val="20"/>
              </w:rPr>
            </w:pPr>
            <w:r w:rsidRPr="00DF14D1">
              <w:rPr>
                <w:rFonts w:ascii="Arial" w:hAnsi="Arial"/>
                <w:szCs w:val="20"/>
              </w:rPr>
              <w:t>Educational skills, providing training and guidance to staff involved in executing process activities</w:t>
            </w:r>
          </w:p>
          <w:p w14:paraId="2C02A2D6" w14:textId="77777777" w:rsidR="00DF14D1" w:rsidRPr="00DF14D1" w:rsidRDefault="00DF14D1" w:rsidP="00DF14D1">
            <w:pPr>
              <w:pStyle w:val="Bullet-Table"/>
              <w:numPr>
                <w:ilvl w:val="0"/>
                <w:numId w:val="5"/>
              </w:numPr>
              <w:rPr>
                <w:rFonts w:ascii="Arial" w:hAnsi="Arial"/>
                <w:szCs w:val="20"/>
              </w:rPr>
            </w:pPr>
            <w:r w:rsidRPr="00DF14D1">
              <w:rPr>
                <w:rFonts w:ascii="Arial" w:hAnsi="Arial"/>
                <w:szCs w:val="20"/>
              </w:rPr>
              <w:t>Ability to work with, influence and communicate with all levels of staff within the organisation, and especially partners and other related third parties</w:t>
            </w:r>
          </w:p>
          <w:p w14:paraId="7C2DB7F1" w14:textId="77777777" w:rsidR="00DF14D1" w:rsidRPr="00DF14D1" w:rsidRDefault="00DF14D1" w:rsidP="00DF14D1">
            <w:pPr>
              <w:pStyle w:val="Bullet-Table"/>
              <w:numPr>
                <w:ilvl w:val="0"/>
                <w:numId w:val="5"/>
              </w:numPr>
              <w:rPr>
                <w:rFonts w:ascii="Arial" w:hAnsi="Arial"/>
                <w:szCs w:val="20"/>
              </w:rPr>
            </w:pPr>
            <w:r w:rsidRPr="00DF14D1">
              <w:rPr>
                <w:rFonts w:ascii="Arial" w:hAnsi="Arial"/>
                <w:szCs w:val="20"/>
              </w:rPr>
              <w:t>Excellent attention to detail</w:t>
            </w:r>
          </w:p>
          <w:p w14:paraId="7E2226BB" w14:textId="00F68E58" w:rsidR="00E40AC5" w:rsidRPr="00DF14D1" w:rsidRDefault="00DF14D1" w:rsidP="00DF14D1">
            <w:pPr>
              <w:pStyle w:val="ListParagraph"/>
              <w:numPr>
                <w:ilvl w:val="0"/>
                <w:numId w:val="5"/>
              </w:numPr>
              <w:spacing w:after="0"/>
              <w:jc w:val="both"/>
              <w:rPr>
                <w:rFonts w:ascii="Arial" w:eastAsia="Calibri" w:hAnsi="Arial" w:cs="Arial"/>
                <w:b/>
                <w:sz w:val="20"/>
                <w:szCs w:val="20"/>
              </w:rPr>
            </w:pPr>
            <w:r w:rsidRPr="00DF14D1">
              <w:rPr>
                <w:rFonts w:ascii="Arial" w:hAnsi="Arial"/>
                <w:sz w:val="20"/>
                <w:szCs w:val="20"/>
              </w:rPr>
              <w:lastRenderedPageBreak/>
              <w:t xml:space="preserve">Excellent written and verbal communication skills, especially in the creation of policies, </w:t>
            </w:r>
            <w:proofErr w:type="gramStart"/>
            <w:r w:rsidRPr="00DF14D1">
              <w:rPr>
                <w:rFonts w:ascii="Arial" w:hAnsi="Arial"/>
                <w:sz w:val="20"/>
                <w:szCs w:val="20"/>
              </w:rPr>
              <w:t>procedures</w:t>
            </w:r>
            <w:proofErr w:type="gramEnd"/>
            <w:r w:rsidRPr="00DF14D1">
              <w:rPr>
                <w:rFonts w:ascii="Arial" w:hAnsi="Arial"/>
                <w:sz w:val="20"/>
                <w:szCs w:val="20"/>
              </w:rPr>
              <w:t xml:space="preserve"> and management reports (such as reporting on metrics and key performance indicators).       </w:t>
            </w:r>
          </w:p>
        </w:tc>
        <w:tc>
          <w:tcPr>
            <w:tcW w:w="3373" w:type="dxa"/>
          </w:tcPr>
          <w:p w14:paraId="76B9F8F2" w14:textId="77777777" w:rsidR="00BA0218" w:rsidRPr="00DF14D1" w:rsidRDefault="00BA0218" w:rsidP="00BA0218">
            <w:pPr>
              <w:pStyle w:val="Bullet-Table"/>
              <w:numPr>
                <w:ilvl w:val="0"/>
                <w:numId w:val="5"/>
              </w:numPr>
              <w:rPr>
                <w:rFonts w:ascii="Arial" w:hAnsi="Arial"/>
                <w:szCs w:val="20"/>
              </w:rPr>
            </w:pPr>
            <w:r w:rsidRPr="00DF14D1">
              <w:rPr>
                <w:rFonts w:ascii="Arial" w:hAnsi="Arial"/>
                <w:szCs w:val="20"/>
              </w:rPr>
              <w:lastRenderedPageBreak/>
              <w:t>Previous Supplier vendor management experience across a large enterprise</w:t>
            </w:r>
          </w:p>
          <w:p w14:paraId="57905A51" w14:textId="77777777" w:rsidR="00BA0218" w:rsidRPr="00DF14D1" w:rsidRDefault="00BA0218" w:rsidP="00BA0218">
            <w:pPr>
              <w:pStyle w:val="Bullet-Table"/>
              <w:numPr>
                <w:ilvl w:val="0"/>
                <w:numId w:val="5"/>
              </w:numPr>
              <w:rPr>
                <w:rFonts w:ascii="Arial" w:hAnsi="Arial"/>
                <w:szCs w:val="20"/>
              </w:rPr>
            </w:pPr>
            <w:r w:rsidRPr="00DF14D1">
              <w:rPr>
                <w:rFonts w:ascii="Arial" w:hAnsi="Arial"/>
                <w:szCs w:val="20"/>
              </w:rPr>
              <w:t>Experience of developing supplier contracts</w:t>
            </w:r>
          </w:p>
          <w:p w14:paraId="7F34CCB7" w14:textId="7A304241" w:rsidR="00E40AC5" w:rsidRPr="00DF14D1" w:rsidRDefault="00BA0218" w:rsidP="00DF14D1">
            <w:pPr>
              <w:pStyle w:val="Bullet-Table"/>
              <w:numPr>
                <w:ilvl w:val="0"/>
                <w:numId w:val="5"/>
              </w:numPr>
              <w:rPr>
                <w:rFonts w:ascii="Arial" w:hAnsi="Arial"/>
                <w:szCs w:val="20"/>
              </w:rPr>
            </w:pPr>
            <w:r w:rsidRPr="00DF14D1">
              <w:rPr>
                <w:rFonts w:ascii="Arial" w:hAnsi="Arial"/>
                <w:szCs w:val="20"/>
              </w:rPr>
              <w:t>Practical experience of chairing meetings</w:t>
            </w:r>
          </w:p>
        </w:tc>
      </w:tr>
      <w:tr w:rsidR="00FF16B8" w:rsidRPr="00B75089" w14:paraId="0C21B7BF" w14:textId="77777777" w:rsidTr="00DF14D1">
        <w:trPr>
          <w:cantSplit/>
          <w:trHeight w:val="1691"/>
        </w:trPr>
        <w:tc>
          <w:tcPr>
            <w:tcW w:w="460" w:type="dxa"/>
            <w:shd w:val="clear" w:color="auto" w:fill="D9D9D9" w:themeFill="background1" w:themeFillShade="D9"/>
            <w:textDirection w:val="btLr"/>
          </w:tcPr>
          <w:p w14:paraId="06CF0042" w14:textId="77777777" w:rsidR="00E40AC5" w:rsidRPr="00B75089" w:rsidRDefault="00E40AC5" w:rsidP="00B75089">
            <w:pPr>
              <w:spacing w:after="0" w:line="240" w:lineRule="auto"/>
              <w:ind w:left="113" w:right="113"/>
              <w:jc w:val="center"/>
              <w:rPr>
                <w:rFonts w:ascii="Arial" w:hAnsi="Arial" w:cs="Arial"/>
                <w:b/>
                <w:sz w:val="20"/>
                <w:szCs w:val="20"/>
              </w:rPr>
            </w:pPr>
            <w:r w:rsidRPr="00B75089">
              <w:rPr>
                <w:rFonts w:ascii="Arial" w:hAnsi="Arial" w:cs="Arial"/>
                <w:b/>
                <w:sz w:val="20"/>
                <w:szCs w:val="20"/>
              </w:rPr>
              <w:t>Desirable</w:t>
            </w:r>
          </w:p>
        </w:tc>
        <w:tc>
          <w:tcPr>
            <w:tcW w:w="2654" w:type="dxa"/>
          </w:tcPr>
          <w:p w14:paraId="36BE6CB3" w14:textId="77777777" w:rsidR="00DF14D1" w:rsidRPr="00DF14D1" w:rsidRDefault="00DF14D1" w:rsidP="00DF14D1">
            <w:pPr>
              <w:pStyle w:val="Bullet-Table"/>
              <w:numPr>
                <w:ilvl w:val="0"/>
                <w:numId w:val="5"/>
              </w:numPr>
              <w:rPr>
                <w:rFonts w:ascii="Arial" w:hAnsi="Arial"/>
                <w:szCs w:val="20"/>
              </w:rPr>
            </w:pPr>
            <w:r w:rsidRPr="00DF14D1">
              <w:rPr>
                <w:rFonts w:ascii="Arial" w:hAnsi="Arial"/>
                <w:szCs w:val="20"/>
              </w:rPr>
              <w:t>ITIL Service Lifecycle – Service Transition</w:t>
            </w:r>
          </w:p>
          <w:p w14:paraId="4E499414" w14:textId="189E0897" w:rsidR="00E40AC5" w:rsidRPr="00DF14D1" w:rsidRDefault="00DF14D1" w:rsidP="00DF14D1">
            <w:pPr>
              <w:pStyle w:val="Bullet-Table"/>
              <w:numPr>
                <w:ilvl w:val="0"/>
                <w:numId w:val="5"/>
              </w:numPr>
              <w:rPr>
                <w:rFonts w:ascii="Arial" w:hAnsi="Arial"/>
                <w:szCs w:val="20"/>
              </w:rPr>
            </w:pPr>
            <w:r w:rsidRPr="00DF14D1">
              <w:rPr>
                <w:rFonts w:ascii="Arial" w:hAnsi="Arial"/>
                <w:szCs w:val="20"/>
              </w:rPr>
              <w:t>Experience of ISO 37001 Anti-Bribery Management System</w:t>
            </w:r>
          </w:p>
        </w:tc>
        <w:tc>
          <w:tcPr>
            <w:tcW w:w="3969" w:type="dxa"/>
          </w:tcPr>
          <w:p w14:paraId="77C2B4A1" w14:textId="77777777" w:rsidR="00E40AC5" w:rsidRPr="00B75089" w:rsidRDefault="00E40AC5" w:rsidP="00095CEA">
            <w:pPr>
              <w:pStyle w:val="ListParagraph"/>
              <w:spacing w:after="0"/>
              <w:ind w:left="502"/>
              <w:jc w:val="both"/>
              <w:rPr>
                <w:rFonts w:ascii="Arial" w:eastAsia="Calibri" w:hAnsi="Arial" w:cs="Arial"/>
                <w:b/>
                <w:sz w:val="20"/>
                <w:szCs w:val="20"/>
              </w:rPr>
            </w:pPr>
          </w:p>
        </w:tc>
        <w:tc>
          <w:tcPr>
            <w:tcW w:w="3373" w:type="dxa"/>
          </w:tcPr>
          <w:p w14:paraId="03987DE0" w14:textId="77777777" w:rsidR="00E40AC5" w:rsidRPr="00B75089" w:rsidRDefault="00E40AC5" w:rsidP="00095CEA">
            <w:pPr>
              <w:pStyle w:val="ListParagraph"/>
              <w:spacing w:after="0"/>
              <w:ind w:left="502"/>
              <w:rPr>
                <w:rFonts w:ascii="Arial" w:eastAsia="Calibri" w:hAnsi="Arial" w:cs="Arial"/>
                <w:b/>
                <w:sz w:val="20"/>
                <w:szCs w:val="20"/>
              </w:rPr>
            </w:pPr>
          </w:p>
        </w:tc>
      </w:tr>
    </w:tbl>
    <w:p w14:paraId="0492C4CD" w14:textId="77777777" w:rsidR="0056188D" w:rsidRPr="00B75089" w:rsidRDefault="0056188D" w:rsidP="00B75089">
      <w:pPr>
        <w:spacing w:line="240" w:lineRule="auto"/>
        <w:rPr>
          <w:rFonts w:ascii="Arial" w:hAnsi="Arial" w:cs="Arial"/>
        </w:rPr>
      </w:pPr>
    </w:p>
    <w:sectPr w:rsidR="0056188D" w:rsidRPr="00B75089" w:rsidSect="009E22D0">
      <w:headerReference w:type="default" r:id="rId11"/>
      <w:pgSz w:w="11909" w:h="16834" w:code="9"/>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5ECDA8" w14:textId="77777777" w:rsidR="00D51A90" w:rsidRDefault="00D51A90" w:rsidP="009E22D0">
      <w:pPr>
        <w:spacing w:after="0" w:line="240" w:lineRule="auto"/>
      </w:pPr>
      <w:r>
        <w:separator/>
      </w:r>
    </w:p>
  </w:endnote>
  <w:endnote w:type="continuationSeparator" w:id="0">
    <w:p w14:paraId="73E73F7F" w14:textId="77777777" w:rsidR="00D51A90" w:rsidRDefault="00D51A90"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ypographic Ext">
    <w:altName w:val="Symbol"/>
    <w:charset w:val="02"/>
    <w:family w:val="swiss"/>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urich BT">
    <w:altName w:val="Trebuchet MS"/>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0A5F43" w14:textId="77777777" w:rsidR="00D51A90" w:rsidRDefault="00D51A90" w:rsidP="009E22D0">
      <w:pPr>
        <w:spacing w:after="0" w:line="240" w:lineRule="auto"/>
      </w:pPr>
      <w:r>
        <w:separator/>
      </w:r>
    </w:p>
  </w:footnote>
  <w:footnote w:type="continuationSeparator" w:id="0">
    <w:p w14:paraId="5EFDB580" w14:textId="77777777" w:rsidR="00D51A90" w:rsidRDefault="00D51A90"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36C10" w14:textId="77777777" w:rsidR="00C91CFA" w:rsidRPr="000E4361" w:rsidRDefault="000E4361" w:rsidP="000E4361">
    <w:pPr>
      <w:pStyle w:val="Header"/>
    </w:pPr>
    <w:r w:rsidRPr="000E4361">
      <w:rPr>
        <w:b/>
        <w:sz w:val="44"/>
        <w:szCs w:val="48"/>
      </w:rPr>
      <w:t>ROLE PROFILE</w:t>
    </w:r>
    <w:r>
      <w:tab/>
    </w:r>
    <w:r>
      <w:tab/>
    </w:r>
    <w:r>
      <w:rPr>
        <w:noProof/>
      </w:rPr>
      <w:drawing>
        <wp:inline distT="0" distB="0" distL="0" distR="0" wp14:anchorId="1E409346" wp14:editId="2E5E9DD3">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C6C4E"/>
    <w:multiLevelType w:val="singleLevel"/>
    <w:tmpl w:val="A26EE502"/>
    <w:lvl w:ilvl="0">
      <w:numFmt w:val="bullet"/>
      <w:pStyle w:val="SingleDash1"/>
      <w:lvlText w:val=""/>
      <w:lvlJc w:val="left"/>
      <w:pPr>
        <w:tabs>
          <w:tab w:val="num" w:pos="1080"/>
        </w:tabs>
        <w:ind w:left="720" w:hanging="360"/>
      </w:pPr>
      <w:rPr>
        <w:rFonts w:ascii="Typographic Ext" w:hAnsi="Typographic Ext" w:hint="default"/>
      </w:rPr>
    </w:lvl>
  </w:abstractNum>
  <w:abstractNum w:abstractNumId="1" w15:restartNumberingAfterBreak="0">
    <w:nsid w:val="0B7A0B03"/>
    <w:multiLevelType w:val="hybridMultilevel"/>
    <w:tmpl w:val="2E249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AE4034"/>
    <w:multiLevelType w:val="hybridMultilevel"/>
    <w:tmpl w:val="BB94A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 w15:restartNumberingAfterBreak="0">
    <w:nsid w:val="1B680DA1"/>
    <w:multiLevelType w:val="hybridMultilevel"/>
    <w:tmpl w:val="18CC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CA3F3A"/>
    <w:multiLevelType w:val="hybridMultilevel"/>
    <w:tmpl w:val="311A308E"/>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6" w15:restartNumberingAfterBreak="0">
    <w:nsid w:val="24BD28E8"/>
    <w:multiLevelType w:val="singleLevel"/>
    <w:tmpl w:val="95A688B2"/>
    <w:lvl w:ilvl="0">
      <w:start w:val="1"/>
      <w:numFmt w:val="bullet"/>
      <w:pStyle w:val="SingleBullet"/>
      <w:lvlText w:val=""/>
      <w:lvlJc w:val="left"/>
      <w:pPr>
        <w:tabs>
          <w:tab w:val="num" w:pos="360"/>
        </w:tabs>
        <w:ind w:left="360" w:hanging="360"/>
      </w:pPr>
      <w:rPr>
        <w:rFonts w:ascii="Typographic Ext" w:hAnsi="Typographic Ext" w:hint="default"/>
      </w:rPr>
    </w:lvl>
  </w:abstractNum>
  <w:abstractNum w:abstractNumId="7"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24F2CAE"/>
    <w:multiLevelType w:val="hybridMultilevel"/>
    <w:tmpl w:val="A4D06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763A5D"/>
    <w:multiLevelType w:val="hybridMultilevel"/>
    <w:tmpl w:val="7BD87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8E7D24"/>
    <w:multiLevelType w:val="hybridMultilevel"/>
    <w:tmpl w:val="4A0C4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401E14"/>
    <w:multiLevelType w:val="hybridMultilevel"/>
    <w:tmpl w:val="5C405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C63D54"/>
    <w:multiLevelType w:val="hybridMultilevel"/>
    <w:tmpl w:val="FDB6C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C44788"/>
    <w:multiLevelType w:val="hybridMultilevel"/>
    <w:tmpl w:val="6F266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917802"/>
    <w:multiLevelType w:val="hybridMultilevel"/>
    <w:tmpl w:val="EFE2544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3501FD"/>
    <w:multiLevelType w:val="hybridMultilevel"/>
    <w:tmpl w:val="C7465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D2112A"/>
    <w:multiLevelType w:val="hybridMultilevel"/>
    <w:tmpl w:val="B8AE9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E454D4"/>
    <w:multiLevelType w:val="hybridMultilevel"/>
    <w:tmpl w:val="05669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37587A"/>
    <w:multiLevelType w:val="hybridMultilevel"/>
    <w:tmpl w:val="546E5CBE"/>
    <w:lvl w:ilvl="0" w:tplc="97984DE0">
      <w:start w:val="1"/>
      <w:numFmt w:val="bullet"/>
      <w:pStyle w:val="Bullet-Table"/>
      <w:lvlText w:val=""/>
      <w:lvlJc w:val="left"/>
      <w:pPr>
        <w:tabs>
          <w:tab w:val="num" w:pos="720"/>
        </w:tabs>
        <w:ind w:left="720" w:hanging="360"/>
      </w:pPr>
      <w:rPr>
        <w:rFonts w:ascii="Symbol" w:hAnsi="Symbol" w:hint="default"/>
      </w:rPr>
    </w:lvl>
    <w:lvl w:ilvl="1" w:tplc="3A0AFE5A">
      <w:start w:val="1"/>
      <w:numFmt w:val="bullet"/>
      <w:pStyle w:val="Bullet-Table2"/>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5036C1"/>
    <w:multiLevelType w:val="hybridMultilevel"/>
    <w:tmpl w:val="7E74B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11"/>
  </w:num>
  <w:num w:numId="4">
    <w:abstractNumId w:val="9"/>
  </w:num>
  <w:num w:numId="5">
    <w:abstractNumId w:val="14"/>
  </w:num>
  <w:num w:numId="6">
    <w:abstractNumId w:val="4"/>
  </w:num>
  <w:num w:numId="7">
    <w:abstractNumId w:val="17"/>
  </w:num>
  <w:num w:numId="8">
    <w:abstractNumId w:val="24"/>
  </w:num>
  <w:num w:numId="9">
    <w:abstractNumId w:val="25"/>
  </w:num>
  <w:num w:numId="10">
    <w:abstractNumId w:val="21"/>
  </w:num>
  <w:num w:numId="11">
    <w:abstractNumId w:val="7"/>
  </w:num>
  <w:num w:numId="12">
    <w:abstractNumId w:val="22"/>
  </w:num>
  <w:num w:numId="13">
    <w:abstractNumId w:val="18"/>
  </w:num>
  <w:num w:numId="14">
    <w:abstractNumId w:val="19"/>
  </w:num>
  <w:num w:numId="15">
    <w:abstractNumId w:val="16"/>
  </w:num>
  <w:num w:numId="16">
    <w:abstractNumId w:val="12"/>
  </w:num>
  <w:num w:numId="17">
    <w:abstractNumId w:val="23"/>
  </w:num>
  <w:num w:numId="18">
    <w:abstractNumId w:val="20"/>
  </w:num>
  <w:num w:numId="19">
    <w:abstractNumId w:val="2"/>
  </w:num>
  <w:num w:numId="20">
    <w:abstractNumId w:val="6"/>
  </w:num>
  <w:num w:numId="21">
    <w:abstractNumId w:val="0"/>
  </w:num>
  <w:num w:numId="22">
    <w:abstractNumId w:val="1"/>
  </w:num>
  <w:num w:numId="23">
    <w:abstractNumId w:val="10"/>
  </w:num>
  <w:num w:numId="24">
    <w:abstractNumId w:val="5"/>
  </w:num>
  <w:num w:numId="25">
    <w:abstractNumId w:val="8"/>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D0"/>
    <w:rsid w:val="00015B51"/>
    <w:rsid w:val="000210EA"/>
    <w:rsid w:val="000565E7"/>
    <w:rsid w:val="0007193F"/>
    <w:rsid w:val="00082F60"/>
    <w:rsid w:val="00091FE5"/>
    <w:rsid w:val="00092EDF"/>
    <w:rsid w:val="00095CEA"/>
    <w:rsid w:val="000D2983"/>
    <w:rsid w:val="000E4361"/>
    <w:rsid w:val="00102201"/>
    <w:rsid w:val="001250BF"/>
    <w:rsid w:val="00145CD2"/>
    <w:rsid w:val="001C1AB1"/>
    <w:rsid w:val="002B557F"/>
    <w:rsid w:val="002D5C4B"/>
    <w:rsid w:val="002D7ABB"/>
    <w:rsid w:val="00317A89"/>
    <w:rsid w:val="00327A9B"/>
    <w:rsid w:val="00362494"/>
    <w:rsid w:val="00363A30"/>
    <w:rsid w:val="00391FF4"/>
    <w:rsid w:val="004337D6"/>
    <w:rsid w:val="004B6736"/>
    <w:rsid w:val="004C4FAA"/>
    <w:rsid w:val="004D18E8"/>
    <w:rsid w:val="005256DE"/>
    <w:rsid w:val="005542D1"/>
    <w:rsid w:val="0056188D"/>
    <w:rsid w:val="006219B1"/>
    <w:rsid w:val="0064329B"/>
    <w:rsid w:val="00644BB2"/>
    <w:rsid w:val="00653F84"/>
    <w:rsid w:val="00664849"/>
    <w:rsid w:val="00666EB3"/>
    <w:rsid w:val="006755F8"/>
    <w:rsid w:val="006756DD"/>
    <w:rsid w:val="006826A4"/>
    <w:rsid w:val="006A6881"/>
    <w:rsid w:val="00711E46"/>
    <w:rsid w:val="00717094"/>
    <w:rsid w:val="00773AEE"/>
    <w:rsid w:val="00784DBE"/>
    <w:rsid w:val="007E7CA1"/>
    <w:rsid w:val="00813AEB"/>
    <w:rsid w:val="00832E4E"/>
    <w:rsid w:val="008B6A18"/>
    <w:rsid w:val="00950C70"/>
    <w:rsid w:val="009E22D0"/>
    <w:rsid w:val="00A3520A"/>
    <w:rsid w:val="00A4414A"/>
    <w:rsid w:val="00A97509"/>
    <w:rsid w:val="00AD34A1"/>
    <w:rsid w:val="00B425FF"/>
    <w:rsid w:val="00B5438E"/>
    <w:rsid w:val="00B75089"/>
    <w:rsid w:val="00B86FFD"/>
    <w:rsid w:val="00B978A6"/>
    <w:rsid w:val="00BA0218"/>
    <w:rsid w:val="00BC15D2"/>
    <w:rsid w:val="00C65775"/>
    <w:rsid w:val="00C91CFA"/>
    <w:rsid w:val="00CE76B2"/>
    <w:rsid w:val="00D24D10"/>
    <w:rsid w:val="00D276E9"/>
    <w:rsid w:val="00D51A90"/>
    <w:rsid w:val="00D84FA2"/>
    <w:rsid w:val="00DC593B"/>
    <w:rsid w:val="00DF14D1"/>
    <w:rsid w:val="00E40AC5"/>
    <w:rsid w:val="00E92112"/>
    <w:rsid w:val="00EF3506"/>
    <w:rsid w:val="00F5319A"/>
    <w:rsid w:val="00F824AF"/>
    <w:rsid w:val="00F85E9A"/>
    <w:rsid w:val="00FB4711"/>
    <w:rsid w:val="00FD0954"/>
    <w:rsid w:val="00FD3AB2"/>
    <w:rsid w:val="00FF1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A12C764"/>
  <w15:docId w15:val="{2C4DC8C0-AA02-4977-BCA0-8F9AAB761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Table">
    <w:name w:val="Bullet - Table"/>
    <w:basedOn w:val="Normal"/>
    <w:qFormat/>
    <w:rsid w:val="006A6881"/>
    <w:pPr>
      <w:numPr>
        <w:numId w:val="18"/>
      </w:numPr>
      <w:spacing w:before="60" w:after="60" w:line="240" w:lineRule="auto"/>
    </w:pPr>
    <w:rPr>
      <w:rFonts w:cs="Arial"/>
      <w:sz w:val="20"/>
      <w:szCs w:val="24"/>
      <w:lang w:eastAsia="en-US"/>
    </w:rPr>
  </w:style>
  <w:style w:type="paragraph" w:customStyle="1" w:styleId="Bullet-Table2">
    <w:name w:val="Bullet - Table2"/>
    <w:basedOn w:val="Bullet-Table"/>
    <w:qFormat/>
    <w:rsid w:val="006A6881"/>
    <w:pPr>
      <w:numPr>
        <w:ilvl w:val="1"/>
      </w:numPr>
      <w:tabs>
        <w:tab w:val="clear" w:pos="1440"/>
        <w:tab w:val="num" w:pos="883"/>
      </w:tabs>
      <w:ind w:left="883" w:hanging="284"/>
    </w:pPr>
  </w:style>
  <w:style w:type="paragraph" w:customStyle="1" w:styleId="SingleBullet">
    <w:name w:val="Single Bullet"/>
    <w:basedOn w:val="Normal"/>
    <w:next w:val="Normal"/>
    <w:rsid w:val="00DF14D1"/>
    <w:pPr>
      <w:numPr>
        <w:numId w:val="20"/>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80" w:lineRule="exact"/>
    </w:pPr>
    <w:rPr>
      <w:rFonts w:ascii="Zurich BT" w:hAnsi="Zurich BT"/>
    </w:rPr>
  </w:style>
  <w:style w:type="paragraph" w:customStyle="1" w:styleId="SingleDash1">
    <w:name w:val="Single Dash 1"/>
    <w:basedOn w:val="Normal"/>
    <w:next w:val="Normal"/>
    <w:rsid w:val="00DF14D1"/>
    <w:pPr>
      <w:numPr>
        <w:numId w:val="21"/>
      </w:numPr>
      <w:tabs>
        <w:tab w:val="clear" w:pos="1080"/>
        <w:tab w:val="num" w:pos="720"/>
      </w:tabs>
      <w:spacing w:after="0" w:line="280" w:lineRule="exact"/>
    </w:pPr>
    <w:rPr>
      <w:rFonts w:ascii="Zurich BT" w:hAnsi="Zurich B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3BF0521CACAD4A94435BD7950F4DE7" ma:contentTypeVersion="2" ma:contentTypeDescription="Create a new document." ma:contentTypeScope="" ma:versionID="26a448466f567be333540955d98a3468">
  <xsd:schema xmlns:xsd="http://www.w3.org/2001/XMLSchema" xmlns:xs="http://www.w3.org/2001/XMLSchema" xmlns:p="http://schemas.microsoft.com/office/2006/metadata/properties" xmlns:ns2="c7b3d7a4-a3e6-42f8-b200-c8f7969dd837" targetNamespace="http://schemas.microsoft.com/office/2006/metadata/properties" ma:root="true" ma:fieldsID="38aa8d6262516936224fe64ccb6e3b2e" ns2:_="">
    <xsd:import namespace="c7b3d7a4-a3e6-42f8-b200-c8f7969dd83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3d7a4-a3e6-42f8-b200-c8f7969dd8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isl xmlns:xsi="http://www.w3.org/2001/XMLSchema-instance" xmlns:xsd="http://www.w3.org/2001/XMLSchema" xmlns="http://www.boldonjames.com/2008/01/sie/internal/label" sislVersion="0" policy="0527876a-d0f0-42d7-8ac4-338d18901bd9" origin="userSelected">
  <element uid="id_classification_internalonly" value=""/>
</sisl>
</file>

<file path=customXml/itemProps1.xml><?xml version="1.0" encoding="utf-8"?>
<ds:datastoreItem xmlns:ds="http://schemas.openxmlformats.org/officeDocument/2006/customXml" ds:itemID="{767EEC1E-EF5B-4152-8151-09F8851A6C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b3d7a4-a3e6-42f8-b200-c8f7969dd8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98476E-29C8-434C-A002-59AC4ADB9BD4}">
  <ds:schemaRefs>
    <ds:schemaRef ds:uri="http://schemas.microsoft.com/sharepoint/v3/contenttype/forms"/>
  </ds:schemaRefs>
</ds:datastoreItem>
</file>

<file path=customXml/itemProps3.xml><?xml version="1.0" encoding="utf-8"?>
<ds:datastoreItem xmlns:ds="http://schemas.openxmlformats.org/officeDocument/2006/customXml" ds:itemID="{0ABB328F-1D62-4F40-B74E-3BE2E5E2475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F20FDCB-DB1B-4947-AD92-5BAB5D781B3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1151</Words>
  <Characters>7169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Nadine</dc:creator>
  <dc:description>MPS Internal Only</dc:description>
  <cp:lastModifiedBy>Beth Fisher</cp:lastModifiedBy>
  <cp:revision>2</cp:revision>
  <dcterms:created xsi:type="dcterms:W3CDTF">2021-06-08T14:56:00Z</dcterms:created>
  <dcterms:modified xsi:type="dcterms:W3CDTF">2021-06-08T14:56:00Z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0x010100383BF0521CACAD4A94435BD7950F4DE7</vt:lpwstr>
  </property>
  <property fmtid="{D5CDD505-2E9C-101B-9397-08002B2CF9AE}" pid="3" name="docIndexRef">
    <vt:lpwstr>de2514e5-216f-486f-93b9-2f1b92dfb641</vt:lpwstr>
  </property>
  <property fmtid="{D5CDD505-2E9C-101B-9397-08002B2CF9AE}" pid="4" name="bjSaver">
    <vt:lpwstr>cnZIAj++h0ovffFmR/T1GMheYm8DtrKc</vt:lpwstr>
  </property>
  <property fmtid="{D5CDD505-2E9C-101B-9397-08002B2CF9AE}" pid="5"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6" name="bjDocumentLabelXML-0">
    <vt:lpwstr>ames.com/2008/01/sie/internal/label"&gt;&lt;element uid="id_classification_internalonly" value="" /&gt;&lt;/sisl&gt;</vt:lpwstr>
  </property>
  <property fmtid="{D5CDD505-2E9C-101B-9397-08002B2CF9AE}" pid="7" name="bjDocumentSecurityLabel">
    <vt:lpwstr>MPS Internal Only</vt:lpwstr>
  </property>
  <property fmtid="{D5CDD505-2E9C-101B-9397-08002B2CF9AE}" pid="8" name="MPSClassification:">
    <vt:lpwstr>MPS Internal Only</vt:lpwstr>
  </property>
</Properties>
</file>