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DF052B5" w14:textId="77777777" w:rsidTr="007E7CA1">
        <w:trPr>
          <w:trHeight w:val="265"/>
        </w:trPr>
        <w:tc>
          <w:tcPr>
            <w:tcW w:w="2127" w:type="dxa"/>
            <w:shd w:val="clear" w:color="auto" w:fill="D9D9D9" w:themeFill="background1" w:themeFillShade="D9"/>
          </w:tcPr>
          <w:p w14:paraId="20EB5AC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0007577F" w14:textId="79B78AA5" w:rsidR="00F5319A" w:rsidRPr="00B75089" w:rsidRDefault="006644BA" w:rsidP="00B76617">
            <w:pPr>
              <w:pStyle w:val="Header"/>
              <w:spacing w:after="0"/>
              <w:jc w:val="both"/>
              <w:rPr>
                <w:rFonts w:ascii="Arial" w:hAnsi="Arial" w:cs="Arial"/>
                <w:sz w:val="20"/>
                <w:szCs w:val="20"/>
              </w:rPr>
            </w:pPr>
            <w:r>
              <w:rPr>
                <w:rFonts w:ascii="Arial" w:hAnsi="Arial" w:cs="Arial"/>
                <w:sz w:val="20"/>
                <w:szCs w:val="20"/>
              </w:rPr>
              <w:t>Head of Non-Financial Risk</w:t>
            </w:r>
          </w:p>
        </w:tc>
        <w:tc>
          <w:tcPr>
            <w:tcW w:w="1984" w:type="dxa"/>
            <w:shd w:val="clear" w:color="auto" w:fill="D9D9D9" w:themeFill="background1" w:themeFillShade="D9"/>
          </w:tcPr>
          <w:p w14:paraId="34B461A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71223B4" w14:textId="7383167C" w:rsidR="00F5319A" w:rsidRPr="00B75089" w:rsidRDefault="006644BA" w:rsidP="00B75089">
            <w:pPr>
              <w:pStyle w:val="Header"/>
              <w:spacing w:after="0"/>
              <w:jc w:val="both"/>
              <w:rPr>
                <w:rFonts w:ascii="Arial" w:hAnsi="Arial" w:cs="Arial"/>
                <w:sz w:val="20"/>
                <w:szCs w:val="20"/>
              </w:rPr>
            </w:pPr>
            <w:r>
              <w:rPr>
                <w:rFonts w:ascii="Arial" w:hAnsi="Arial" w:cs="Arial"/>
                <w:sz w:val="20"/>
                <w:szCs w:val="20"/>
              </w:rPr>
              <w:t>Chief Risk Officer</w:t>
            </w:r>
          </w:p>
        </w:tc>
      </w:tr>
      <w:tr w:rsidR="00F5319A" w:rsidRPr="00B75089" w14:paraId="59A997F4" w14:textId="77777777" w:rsidTr="007E7CA1">
        <w:trPr>
          <w:trHeight w:val="278"/>
        </w:trPr>
        <w:tc>
          <w:tcPr>
            <w:tcW w:w="2127" w:type="dxa"/>
            <w:shd w:val="clear" w:color="auto" w:fill="D9D9D9" w:themeFill="background1" w:themeFillShade="D9"/>
          </w:tcPr>
          <w:p w14:paraId="67A1CAE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44F32337" w14:textId="77777777" w:rsidR="00F5319A" w:rsidRPr="00B75089" w:rsidRDefault="00D74E1A" w:rsidP="00D74E1A">
            <w:pPr>
              <w:pStyle w:val="Header"/>
              <w:spacing w:after="0"/>
              <w:rPr>
                <w:rFonts w:ascii="Arial" w:hAnsi="Arial" w:cs="Arial"/>
                <w:sz w:val="20"/>
                <w:szCs w:val="20"/>
              </w:rPr>
            </w:pPr>
            <w:r w:rsidRPr="00D74E1A">
              <w:rPr>
                <w:rFonts w:ascii="Arial" w:eastAsia="Calibri" w:hAnsi="Arial" w:cs="Arial"/>
                <w:sz w:val="20"/>
                <w:szCs w:val="20"/>
                <w:lang w:eastAsia="en-US"/>
              </w:rPr>
              <w:t>Group Risk and Compliance</w:t>
            </w:r>
          </w:p>
        </w:tc>
        <w:tc>
          <w:tcPr>
            <w:tcW w:w="1984" w:type="dxa"/>
            <w:shd w:val="clear" w:color="auto" w:fill="D9D9D9" w:themeFill="background1" w:themeFillShade="D9"/>
          </w:tcPr>
          <w:p w14:paraId="3E9AE081"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6A38170" w14:textId="56EE9332" w:rsidR="00F5319A" w:rsidRPr="00B75089" w:rsidRDefault="00067EE0" w:rsidP="00D74E1A">
            <w:pPr>
              <w:pStyle w:val="Header"/>
              <w:spacing w:after="0"/>
              <w:rPr>
                <w:rFonts w:ascii="Arial" w:hAnsi="Arial" w:cs="Arial"/>
                <w:sz w:val="20"/>
                <w:szCs w:val="20"/>
              </w:rPr>
            </w:pPr>
            <w:proofErr w:type="spellStart"/>
            <w:proofErr w:type="gramStart"/>
            <w:r>
              <w:rPr>
                <w:rFonts w:ascii="Arial" w:eastAsia="Calibri" w:hAnsi="Arial" w:cs="Arial"/>
                <w:sz w:val="20"/>
                <w:szCs w:val="20"/>
                <w:lang w:eastAsia="en-US"/>
              </w:rPr>
              <w:t>Non Financial</w:t>
            </w:r>
            <w:proofErr w:type="spellEnd"/>
            <w:proofErr w:type="gramEnd"/>
            <w:r>
              <w:rPr>
                <w:rFonts w:ascii="Arial" w:eastAsia="Calibri" w:hAnsi="Arial" w:cs="Arial"/>
                <w:sz w:val="20"/>
                <w:szCs w:val="20"/>
                <w:lang w:eastAsia="en-US"/>
              </w:rPr>
              <w:t xml:space="preserve"> Risk </w:t>
            </w:r>
          </w:p>
        </w:tc>
      </w:tr>
      <w:tr w:rsidR="00F5319A" w:rsidRPr="00B75089" w14:paraId="60D38E9E" w14:textId="77777777" w:rsidTr="007E7CA1">
        <w:trPr>
          <w:trHeight w:val="265"/>
        </w:trPr>
        <w:tc>
          <w:tcPr>
            <w:tcW w:w="2127" w:type="dxa"/>
            <w:vMerge w:val="restart"/>
            <w:shd w:val="clear" w:color="auto" w:fill="D9D9D9" w:themeFill="background1" w:themeFillShade="D9"/>
          </w:tcPr>
          <w:p w14:paraId="5A37458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68DDEC8" w14:textId="60591243" w:rsidR="00F5319A" w:rsidRPr="00A956A8" w:rsidRDefault="00B91D54" w:rsidP="00B91D54">
            <w:pPr>
              <w:pStyle w:val="Header"/>
              <w:spacing w:after="0"/>
              <w:jc w:val="both"/>
              <w:rPr>
                <w:rFonts w:ascii="Arial" w:hAnsi="Arial" w:cs="Arial"/>
                <w:sz w:val="20"/>
                <w:szCs w:val="20"/>
                <w:highlight w:val="yellow"/>
              </w:rPr>
            </w:pPr>
            <w:r w:rsidRPr="00B91D54">
              <w:rPr>
                <w:rFonts w:ascii="Arial" w:hAnsi="Arial" w:cs="Arial"/>
                <w:sz w:val="20"/>
                <w:szCs w:val="20"/>
              </w:rPr>
              <w:t xml:space="preserve">2 x Direct reports </w:t>
            </w:r>
          </w:p>
        </w:tc>
        <w:tc>
          <w:tcPr>
            <w:tcW w:w="1984" w:type="dxa"/>
            <w:shd w:val="clear" w:color="auto" w:fill="D9D9D9" w:themeFill="background1" w:themeFillShade="D9"/>
          </w:tcPr>
          <w:p w14:paraId="7BA8817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A7C624B" w14:textId="77777777" w:rsidR="00B75089" w:rsidRPr="00B75089" w:rsidRDefault="00B76617" w:rsidP="00B76617">
            <w:pPr>
              <w:pStyle w:val="Header"/>
              <w:spacing w:after="0"/>
              <w:ind w:left="34"/>
              <w:jc w:val="both"/>
              <w:rPr>
                <w:rFonts w:ascii="Arial" w:hAnsi="Arial" w:cs="Arial"/>
                <w:sz w:val="20"/>
                <w:szCs w:val="20"/>
              </w:rPr>
            </w:pPr>
            <w:r>
              <w:rPr>
                <w:rFonts w:ascii="Arial" w:hAnsi="Arial" w:cs="Arial"/>
                <w:sz w:val="20"/>
                <w:szCs w:val="20"/>
              </w:rPr>
              <w:t xml:space="preserve">Governance, </w:t>
            </w:r>
            <w:proofErr w:type="gramStart"/>
            <w:r>
              <w:rPr>
                <w:rFonts w:ascii="Arial" w:hAnsi="Arial" w:cs="Arial"/>
                <w:sz w:val="20"/>
                <w:szCs w:val="20"/>
              </w:rPr>
              <w:t>risk</w:t>
            </w:r>
            <w:proofErr w:type="gramEnd"/>
            <w:r w:rsidR="00D74E1A" w:rsidRPr="00D74E1A">
              <w:rPr>
                <w:rFonts w:ascii="Arial" w:hAnsi="Arial" w:cs="Arial"/>
                <w:sz w:val="20"/>
                <w:szCs w:val="20"/>
              </w:rPr>
              <w:t xml:space="preserve"> and control frameworks across the MPS Group (MPS)</w:t>
            </w:r>
          </w:p>
        </w:tc>
      </w:tr>
      <w:tr w:rsidR="00F5319A" w:rsidRPr="00B75089" w14:paraId="4FC8C595" w14:textId="77777777" w:rsidTr="007E7CA1">
        <w:trPr>
          <w:trHeight w:val="350"/>
        </w:trPr>
        <w:tc>
          <w:tcPr>
            <w:tcW w:w="2127" w:type="dxa"/>
            <w:vMerge/>
            <w:shd w:val="clear" w:color="auto" w:fill="D9D9D9" w:themeFill="background1" w:themeFillShade="D9"/>
          </w:tcPr>
          <w:p w14:paraId="2F1326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CAB8F7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CAAC3C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E24BDEC" w14:textId="7304E47E" w:rsidR="00F5319A" w:rsidRPr="00B75089" w:rsidRDefault="007D168B" w:rsidP="00B75089">
            <w:pPr>
              <w:pStyle w:val="Header"/>
              <w:spacing w:after="0"/>
              <w:jc w:val="both"/>
              <w:rPr>
                <w:rFonts w:ascii="Arial" w:hAnsi="Arial" w:cs="Arial"/>
                <w:sz w:val="20"/>
                <w:szCs w:val="20"/>
              </w:rPr>
            </w:pPr>
            <w:r>
              <w:rPr>
                <w:rFonts w:ascii="Arial" w:hAnsi="Arial" w:cs="Arial"/>
                <w:sz w:val="20"/>
                <w:szCs w:val="20"/>
              </w:rPr>
              <w:t>2</w:t>
            </w:r>
            <w:r w:rsidR="00DD7891">
              <w:rPr>
                <w:rFonts w:ascii="Arial" w:hAnsi="Arial" w:cs="Arial"/>
                <w:sz w:val="20"/>
                <w:szCs w:val="20"/>
              </w:rPr>
              <w:t xml:space="preserve"> FTE</w:t>
            </w:r>
          </w:p>
          <w:p w14:paraId="7F85EC57" w14:textId="7C88AED7" w:rsidR="00F5319A" w:rsidRPr="00B75089" w:rsidRDefault="00F5319A" w:rsidP="00B75089">
            <w:pPr>
              <w:pStyle w:val="Header"/>
              <w:spacing w:after="0"/>
              <w:jc w:val="both"/>
              <w:rPr>
                <w:rFonts w:ascii="Arial" w:hAnsi="Arial" w:cs="Arial"/>
                <w:sz w:val="20"/>
                <w:szCs w:val="20"/>
              </w:rPr>
            </w:pPr>
          </w:p>
        </w:tc>
      </w:tr>
      <w:tr w:rsidR="00F5319A" w:rsidRPr="00B75089" w14:paraId="53FE50EC" w14:textId="77777777" w:rsidTr="007E7CA1">
        <w:trPr>
          <w:trHeight w:val="381"/>
        </w:trPr>
        <w:tc>
          <w:tcPr>
            <w:tcW w:w="2127" w:type="dxa"/>
            <w:vMerge/>
            <w:shd w:val="clear" w:color="auto" w:fill="D9D9D9" w:themeFill="background1" w:themeFillShade="D9"/>
          </w:tcPr>
          <w:p w14:paraId="6450C84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A1F71B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35AE00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0518F97" w14:textId="36BAD7CB" w:rsidR="00F5319A" w:rsidRPr="00B75089" w:rsidRDefault="00837047"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94A05A7" w14:textId="77777777" w:rsidTr="007E7CA1">
        <w:trPr>
          <w:trHeight w:val="558"/>
        </w:trPr>
        <w:tc>
          <w:tcPr>
            <w:tcW w:w="2127" w:type="dxa"/>
            <w:shd w:val="clear" w:color="auto" w:fill="D9D9D9" w:themeFill="background1" w:themeFillShade="D9"/>
          </w:tcPr>
          <w:p w14:paraId="5E7348FF"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7C45002" w14:textId="7810F960" w:rsidR="007E7CA1" w:rsidRPr="00B75089" w:rsidRDefault="00B91D54" w:rsidP="00B75089">
            <w:pPr>
              <w:pStyle w:val="Header"/>
              <w:spacing w:after="0"/>
              <w:jc w:val="both"/>
              <w:rPr>
                <w:rFonts w:ascii="Arial" w:hAnsi="Arial" w:cs="Arial"/>
                <w:sz w:val="20"/>
                <w:szCs w:val="20"/>
              </w:rPr>
            </w:pPr>
            <w:r>
              <w:rPr>
                <w:rFonts w:ascii="Arial" w:hAnsi="Arial" w:cs="Arial"/>
                <w:sz w:val="20"/>
                <w:szCs w:val="20"/>
              </w:rPr>
              <w:t>Guide 1</w:t>
            </w:r>
          </w:p>
        </w:tc>
        <w:tc>
          <w:tcPr>
            <w:tcW w:w="1984" w:type="dxa"/>
            <w:shd w:val="clear" w:color="auto" w:fill="D9D9D9" w:themeFill="background1" w:themeFillShade="D9"/>
          </w:tcPr>
          <w:p w14:paraId="113E0963"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13FAD856" w14:textId="4F87658B" w:rsidR="007E7CA1" w:rsidRPr="00B75089" w:rsidRDefault="00E260A8"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w:t>
            </w:r>
            <w:r w:rsidR="00067EE0">
              <w:rPr>
                <w:rFonts w:ascii="Arial" w:hAnsi="Arial" w:cs="Arial"/>
                <w:color w:val="000000" w:themeColor="text1"/>
                <w:sz w:val="20"/>
                <w:szCs w:val="20"/>
              </w:rPr>
              <w:t xml:space="preserve">Services </w:t>
            </w:r>
          </w:p>
        </w:tc>
      </w:tr>
    </w:tbl>
    <w:p w14:paraId="47C7AA2A"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62B08F44" w14:textId="77777777" w:rsidTr="009E22D0">
        <w:trPr>
          <w:trHeight w:val="456"/>
        </w:trPr>
        <w:tc>
          <w:tcPr>
            <w:tcW w:w="10509" w:type="dxa"/>
            <w:shd w:val="clear" w:color="auto" w:fill="D9D9D9" w:themeFill="background1" w:themeFillShade="D9"/>
          </w:tcPr>
          <w:p w14:paraId="51D7E69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2B55CA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68CD2586" w14:textId="77777777" w:rsidTr="009E22D0">
        <w:trPr>
          <w:trHeight w:val="693"/>
        </w:trPr>
        <w:tc>
          <w:tcPr>
            <w:tcW w:w="10509" w:type="dxa"/>
          </w:tcPr>
          <w:p w14:paraId="773D4711" w14:textId="77777777" w:rsidR="009E22D0" w:rsidRDefault="00D74E1A" w:rsidP="00B76617">
            <w:pPr>
              <w:spacing w:line="240" w:lineRule="auto"/>
              <w:rPr>
                <w:rFonts w:ascii="Arial" w:hAnsi="Arial" w:cs="Arial"/>
                <w:sz w:val="20"/>
                <w:szCs w:val="20"/>
              </w:rPr>
            </w:pPr>
            <w:r w:rsidRPr="00D74E1A">
              <w:rPr>
                <w:rFonts w:ascii="Arial" w:hAnsi="Arial" w:cs="Arial"/>
                <w:sz w:val="20"/>
                <w:szCs w:val="20"/>
              </w:rPr>
              <w:t xml:space="preserve">The purpose of the role is to lead the </w:t>
            </w:r>
            <w:r w:rsidR="006644BA">
              <w:rPr>
                <w:rFonts w:ascii="Arial" w:hAnsi="Arial" w:cs="Arial"/>
                <w:sz w:val="20"/>
                <w:szCs w:val="20"/>
              </w:rPr>
              <w:t xml:space="preserve">development and maintenance of a robust operational risk management framework, provide oversight </w:t>
            </w:r>
            <w:r w:rsidR="001F002C">
              <w:rPr>
                <w:rFonts w:ascii="Arial" w:hAnsi="Arial" w:cs="Arial"/>
                <w:sz w:val="20"/>
                <w:szCs w:val="20"/>
              </w:rPr>
              <w:t xml:space="preserve">and challenge </w:t>
            </w:r>
            <w:r w:rsidR="006644BA">
              <w:rPr>
                <w:rFonts w:ascii="Arial" w:hAnsi="Arial" w:cs="Arial"/>
                <w:sz w:val="20"/>
                <w:szCs w:val="20"/>
              </w:rPr>
              <w:t xml:space="preserve">of operational risk management </w:t>
            </w:r>
            <w:r w:rsidR="001F002C">
              <w:rPr>
                <w:rFonts w:ascii="Arial" w:hAnsi="Arial" w:cs="Arial"/>
                <w:sz w:val="20"/>
                <w:szCs w:val="20"/>
              </w:rPr>
              <w:t>across the business and to be the Risk function business partner to the Business Development &amp; Engagement Division</w:t>
            </w:r>
          </w:p>
          <w:p w14:paraId="2A7515AC" w14:textId="7B87C6B9" w:rsidR="00067EE0" w:rsidRPr="00D74E1A" w:rsidRDefault="00067EE0" w:rsidP="00B76617">
            <w:pPr>
              <w:spacing w:line="240" w:lineRule="auto"/>
              <w:rPr>
                <w:rFonts w:ascii="Arial" w:hAnsi="Arial" w:cs="Arial"/>
                <w:sz w:val="20"/>
                <w:szCs w:val="20"/>
              </w:rPr>
            </w:pPr>
            <w:r w:rsidRPr="00424CA2">
              <w:rPr>
                <w:rFonts w:ascii="Arial" w:hAnsi="Arial" w:cs="Arial"/>
                <w:sz w:val="20"/>
                <w:szCs w:val="20"/>
              </w:rPr>
              <w:t xml:space="preserve">Alongside this providing leadership across the Group Risk and Compliance Division and in particular the </w:t>
            </w:r>
            <w:proofErr w:type="spellStart"/>
            <w:r>
              <w:rPr>
                <w:rFonts w:ascii="Arial" w:hAnsi="Arial" w:cs="Arial"/>
                <w:sz w:val="20"/>
                <w:szCs w:val="20"/>
              </w:rPr>
              <w:t xml:space="preserve">Non </w:t>
            </w:r>
            <w:r w:rsidRPr="00424CA2">
              <w:rPr>
                <w:rFonts w:ascii="Arial" w:hAnsi="Arial" w:cs="Arial"/>
                <w:sz w:val="20"/>
                <w:szCs w:val="20"/>
              </w:rPr>
              <w:t>Financial</w:t>
            </w:r>
            <w:proofErr w:type="spellEnd"/>
            <w:r w:rsidRPr="00424CA2">
              <w:rPr>
                <w:rFonts w:ascii="Arial" w:hAnsi="Arial" w:cs="Arial"/>
                <w:sz w:val="20"/>
                <w:szCs w:val="20"/>
              </w:rPr>
              <w:t xml:space="preserve"> Risk Department that reinforces the desired culture.</w:t>
            </w:r>
          </w:p>
        </w:tc>
      </w:tr>
    </w:tbl>
    <w:p w14:paraId="21256ECE"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76B78BBD" w14:textId="77777777" w:rsidTr="009E22D0">
        <w:trPr>
          <w:trHeight w:val="310"/>
        </w:trPr>
        <w:tc>
          <w:tcPr>
            <w:tcW w:w="6346" w:type="dxa"/>
            <w:shd w:val="clear" w:color="auto" w:fill="D9D9D9" w:themeFill="background1" w:themeFillShade="D9"/>
          </w:tcPr>
          <w:p w14:paraId="3418A89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1091EF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45F6EA9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C916C8E" w14:textId="77777777" w:rsidR="009E22D0" w:rsidRDefault="009E22D0" w:rsidP="00E94052">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61FE600C" w14:textId="77777777" w:rsidR="00E94052" w:rsidRPr="00B75089" w:rsidRDefault="00E94052" w:rsidP="00E94052">
            <w:pPr>
              <w:widowControl w:val="0"/>
              <w:autoSpaceDE w:val="0"/>
              <w:autoSpaceDN w:val="0"/>
              <w:adjustRightInd w:val="0"/>
              <w:spacing w:before="3" w:after="0" w:line="240" w:lineRule="auto"/>
              <w:rPr>
                <w:rFonts w:ascii="Arial" w:hAnsi="Arial" w:cs="Arial"/>
                <w:b/>
                <w:sz w:val="20"/>
                <w:szCs w:val="20"/>
              </w:rPr>
            </w:pPr>
          </w:p>
        </w:tc>
      </w:tr>
      <w:tr w:rsidR="009C1CF0" w:rsidRPr="00B75089" w14:paraId="1CE88351" w14:textId="77777777" w:rsidTr="009E22D0">
        <w:trPr>
          <w:trHeight w:val="578"/>
        </w:trPr>
        <w:tc>
          <w:tcPr>
            <w:tcW w:w="6346" w:type="dxa"/>
          </w:tcPr>
          <w:p w14:paraId="7A78DAA0" w14:textId="77777777" w:rsidR="009C1CF0" w:rsidRDefault="009C1CF0" w:rsidP="009C1CF0">
            <w:pPr>
              <w:spacing w:after="0"/>
            </w:pPr>
            <w:r w:rsidRPr="00E94052">
              <w:rPr>
                <w:rFonts w:ascii="Arial" w:eastAsia="Calibri" w:hAnsi="Arial" w:cs="Arial"/>
                <w:b/>
                <w:sz w:val="20"/>
                <w:szCs w:val="20"/>
              </w:rPr>
              <w:t>Operational Leadership</w:t>
            </w:r>
            <w:r>
              <w:t xml:space="preserve"> </w:t>
            </w:r>
          </w:p>
          <w:p w14:paraId="44675CBB" w14:textId="77777777" w:rsidR="00987C9E" w:rsidRPr="001F002C" w:rsidRDefault="001F002C" w:rsidP="00067EE0">
            <w:pPr>
              <w:pStyle w:val="ListParagraph"/>
              <w:numPr>
                <w:ilvl w:val="0"/>
                <w:numId w:val="20"/>
              </w:numPr>
              <w:spacing w:before="0" w:beforeAutospacing="0" w:after="0" w:afterAutospacing="0"/>
              <w:rPr>
                <w:rFonts w:ascii="Arial" w:hAnsi="Arial" w:cs="Arial"/>
                <w:sz w:val="20"/>
                <w:szCs w:val="20"/>
              </w:rPr>
            </w:pPr>
            <w:r>
              <w:rPr>
                <w:rFonts w:ascii="Arial" w:hAnsi="Arial" w:cs="Arial"/>
                <w:sz w:val="20"/>
              </w:rPr>
              <w:t xml:space="preserve">Lead the Non-Financial Risk Team and work closely with the other parts of Group Risk and Compliance to provide an effective risk management </w:t>
            </w:r>
            <w:proofErr w:type="gramStart"/>
            <w:r>
              <w:rPr>
                <w:rFonts w:ascii="Arial" w:hAnsi="Arial" w:cs="Arial"/>
                <w:sz w:val="20"/>
              </w:rPr>
              <w:t>framework</w:t>
            </w:r>
            <w:proofErr w:type="gramEnd"/>
          </w:p>
          <w:p w14:paraId="633F8B71" w14:textId="77777777" w:rsidR="001F002C" w:rsidRPr="00067EE0" w:rsidRDefault="001F002C" w:rsidP="00067EE0">
            <w:pPr>
              <w:pStyle w:val="ListParagraph"/>
              <w:numPr>
                <w:ilvl w:val="0"/>
                <w:numId w:val="20"/>
              </w:numPr>
              <w:spacing w:before="0" w:beforeAutospacing="0" w:after="0" w:afterAutospacing="0"/>
              <w:rPr>
                <w:rFonts w:ascii="Arial" w:hAnsi="Arial" w:cs="Arial"/>
                <w:sz w:val="20"/>
                <w:szCs w:val="20"/>
              </w:rPr>
            </w:pPr>
            <w:r>
              <w:rPr>
                <w:rFonts w:ascii="Arial" w:hAnsi="Arial" w:cs="Arial"/>
                <w:sz w:val="20"/>
              </w:rPr>
              <w:t xml:space="preserve">Promote a positive risk management culture across the </w:t>
            </w:r>
            <w:proofErr w:type="gramStart"/>
            <w:r>
              <w:rPr>
                <w:rFonts w:ascii="Arial" w:hAnsi="Arial" w:cs="Arial"/>
                <w:sz w:val="20"/>
              </w:rPr>
              <w:t>organisation</w:t>
            </w:r>
            <w:proofErr w:type="gramEnd"/>
          </w:p>
          <w:p w14:paraId="4F6DB776" w14:textId="77777777" w:rsidR="00067EE0" w:rsidRDefault="00067EE0" w:rsidP="00067EE0">
            <w:pPr>
              <w:pStyle w:val="ListParagraph"/>
              <w:numPr>
                <w:ilvl w:val="0"/>
                <w:numId w:val="20"/>
              </w:numPr>
              <w:spacing w:before="0" w:beforeAutospacing="0" w:after="0" w:afterAutospacing="0"/>
              <w:rPr>
                <w:rFonts w:ascii="Arial" w:hAnsi="Arial" w:cs="Arial"/>
                <w:sz w:val="20"/>
                <w:szCs w:val="20"/>
              </w:rPr>
            </w:pPr>
            <w:r>
              <w:rPr>
                <w:rFonts w:ascii="Arial" w:hAnsi="Arial" w:cs="Arial"/>
                <w:sz w:val="20"/>
                <w:szCs w:val="20"/>
              </w:rPr>
              <w:t>Business partnering to the Business Development and Engagement Division, acting as a “chief risk officer” at the divisional level. This includes ensuring that the right areas of the Risk, Compliance, OQA and Data Protection team are involved in the Divisions’ proposals at the right time and ensuring that all material business decisions are subject to 2</w:t>
            </w:r>
            <w:r w:rsidRPr="00897CCF">
              <w:rPr>
                <w:rFonts w:ascii="Arial" w:hAnsi="Arial" w:cs="Arial"/>
                <w:sz w:val="20"/>
                <w:szCs w:val="20"/>
                <w:vertAlign w:val="superscript"/>
              </w:rPr>
              <w:t>nd</w:t>
            </w:r>
            <w:r>
              <w:rPr>
                <w:rFonts w:ascii="Arial" w:hAnsi="Arial" w:cs="Arial"/>
                <w:sz w:val="20"/>
                <w:szCs w:val="20"/>
              </w:rPr>
              <w:t xml:space="preserve"> line review and challenge with written risk opinions for proposals going to Council or Council sub-committees.</w:t>
            </w:r>
          </w:p>
          <w:p w14:paraId="11506757" w14:textId="7F9BF2F4" w:rsidR="00067EE0" w:rsidRPr="00E94052" w:rsidRDefault="00067EE0" w:rsidP="00067EE0">
            <w:pPr>
              <w:pStyle w:val="ListParagraph"/>
              <w:numPr>
                <w:ilvl w:val="0"/>
                <w:numId w:val="20"/>
              </w:numPr>
              <w:spacing w:before="0" w:beforeAutospacing="0" w:after="0" w:afterAutospacing="0"/>
              <w:rPr>
                <w:rFonts w:ascii="Arial" w:hAnsi="Arial" w:cs="Arial"/>
                <w:sz w:val="20"/>
                <w:szCs w:val="20"/>
              </w:rPr>
            </w:pPr>
          </w:p>
        </w:tc>
        <w:tc>
          <w:tcPr>
            <w:tcW w:w="4141" w:type="dxa"/>
          </w:tcPr>
          <w:p w14:paraId="0D8BECBE" w14:textId="6FC6B02E" w:rsidR="009C1CF0" w:rsidRDefault="009C1CF0" w:rsidP="00D23BEE">
            <w:pPr>
              <w:pStyle w:val="ListParagraph"/>
              <w:numPr>
                <w:ilvl w:val="0"/>
                <w:numId w:val="6"/>
              </w:numPr>
              <w:tabs>
                <w:tab w:val="left" w:pos="921"/>
              </w:tabs>
              <w:rPr>
                <w:rFonts w:ascii="Arial" w:hAnsi="Arial" w:cs="Arial"/>
                <w:sz w:val="20"/>
                <w:szCs w:val="20"/>
              </w:rPr>
            </w:pPr>
            <w:r>
              <w:rPr>
                <w:rFonts w:ascii="Arial" w:hAnsi="Arial" w:cs="Arial"/>
                <w:sz w:val="20"/>
                <w:szCs w:val="20"/>
              </w:rPr>
              <w:t>Risk</w:t>
            </w:r>
            <w:r w:rsidRPr="00290C3D">
              <w:rPr>
                <w:rFonts w:ascii="Arial" w:hAnsi="Arial" w:cs="Arial"/>
                <w:sz w:val="20"/>
                <w:szCs w:val="20"/>
              </w:rPr>
              <w:t xml:space="preserve"> </w:t>
            </w:r>
            <w:r>
              <w:rPr>
                <w:rFonts w:ascii="Arial" w:hAnsi="Arial" w:cs="Arial"/>
                <w:sz w:val="20"/>
                <w:szCs w:val="20"/>
              </w:rPr>
              <w:t>Management F</w:t>
            </w:r>
            <w:r w:rsidRPr="00290C3D">
              <w:rPr>
                <w:rFonts w:ascii="Arial" w:hAnsi="Arial" w:cs="Arial"/>
                <w:sz w:val="20"/>
                <w:szCs w:val="20"/>
              </w:rPr>
              <w:t xml:space="preserve">ramework in place and being actively </w:t>
            </w:r>
            <w:proofErr w:type="gramStart"/>
            <w:r w:rsidRPr="00290C3D">
              <w:rPr>
                <w:rFonts w:ascii="Arial" w:hAnsi="Arial" w:cs="Arial"/>
                <w:sz w:val="20"/>
                <w:szCs w:val="20"/>
              </w:rPr>
              <w:t>managed</w:t>
            </w:r>
            <w:proofErr w:type="gramEnd"/>
          </w:p>
          <w:p w14:paraId="08B18513" w14:textId="77777777" w:rsidR="00D23BEE" w:rsidRDefault="00987C9E" w:rsidP="00D23BEE">
            <w:pPr>
              <w:pStyle w:val="ListParagraph"/>
              <w:numPr>
                <w:ilvl w:val="0"/>
                <w:numId w:val="6"/>
              </w:numPr>
              <w:tabs>
                <w:tab w:val="left" w:pos="921"/>
              </w:tabs>
              <w:rPr>
                <w:rFonts w:ascii="Arial" w:hAnsi="Arial" w:cs="Arial"/>
                <w:sz w:val="20"/>
                <w:szCs w:val="20"/>
              </w:rPr>
            </w:pPr>
            <w:r>
              <w:rPr>
                <w:rFonts w:ascii="Arial" w:hAnsi="Arial" w:cs="Arial"/>
                <w:sz w:val="20"/>
                <w:szCs w:val="20"/>
              </w:rPr>
              <w:t>Council and Executive feedback</w:t>
            </w:r>
          </w:p>
          <w:p w14:paraId="3AC61DFB" w14:textId="77777777" w:rsidR="00D23BEE" w:rsidRDefault="00D23BEE" w:rsidP="00D23BEE">
            <w:pPr>
              <w:pStyle w:val="ListParagraph"/>
              <w:numPr>
                <w:ilvl w:val="0"/>
                <w:numId w:val="6"/>
              </w:numPr>
              <w:spacing w:beforeAutospacing="0" w:afterAutospacing="0"/>
              <w:rPr>
                <w:rFonts w:ascii="Arial" w:hAnsi="Arial" w:cs="Arial"/>
                <w:sz w:val="20"/>
                <w:szCs w:val="20"/>
              </w:rPr>
            </w:pPr>
            <w:r>
              <w:rPr>
                <w:rFonts w:ascii="Arial" w:hAnsi="Arial" w:cs="Arial"/>
                <w:sz w:val="20"/>
                <w:szCs w:val="20"/>
              </w:rPr>
              <w:t xml:space="preserve">Risk Management Culture measures </w:t>
            </w:r>
          </w:p>
          <w:p w14:paraId="4C05FDDA" w14:textId="6D7ADAD1" w:rsidR="009C1CF0" w:rsidRPr="004A61AE" w:rsidRDefault="00987C9E" w:rsidP="004A61AE">
            <w:pPr>
              <w:pStyle w:val="ListParagraph"/>
              <w:tabs>
                <w:tab w:val="left" w:pos="921"/>
              </w:tabs>
              <w:rPr>
                <w:rFonts w:ascii="Arial" w:hAnsi="Arial" w:cs="Arial"/>
                <w:sz w:val="20"/>
                <w:szCs w:val="20"/>
              </w:rPr>
            </w:pPr>
            <w:r>
              <w:rPr>
                <w:rFonts w:ascii="Arial" w:hAnsi="Arial" w:cs="Arial"/>
                <w:sz w:val="20"/>
                <w:szCs w:val="20"/>
              </w:rPr>
              <w:t xml:space="preserve"> </w:t>
            </w:r>
          </w:p>
        </w:tc>
      </w:tr>
      <w:tr w:rsidR="001F002C" w:rsidRPr="00B75089" w14:paraId="399F42FE" w14:textId="77777777" w:rsidTr="009E22D0">
        <w:trPr>
          <w:trHeight w:val="578"/>
        </w:trPr>
        <w:tc>
          <w:tcPr>
            <w:tcW w:w="6346" w:type="dxa"/>
          </w:tcPr>
          <w:p w14:paraId="70C169EF" w14:textId="77777777" w:rsidR="001F002C" w:rsidRPr="00682B78" w:rsidRDefault="001F002C" w:rsidP="001F002C">
            <w:pPr>
              <w:rPr>
                <w:rFonts w:ascii="Arial" w:hAnsi="Arial" w:cs="Arial"/>
                <w:b/>
                <w:bCs/>
                <w:sz w:val="20"/>
                <w:szCs w:val="20"/>
              </w:rPr>
            </w:pPr>
            <w:r w:rsidRPr="00682B78">
              <w:rPr>
                <w:rFonts w:ascii="Arial" w:hAnsi="Arial" w:cs="Arial"/>
                <w:b/>
                <w:bCs/>
                <w:sz w:val="20"/>
                <w:szCs w:val="20"/>
              </w:rPr>
              <w:t>Financial</w:t>
            </w:r>
          </w:p>
          <w:p w14:paraId="2D7C7C17" w14:textId="77777777" w:rsidR="00067EE0" w:rsidRPr="00056868" w:rsidRDefault="00067EE0" w:rsidP="00067EE0">
            <w:pPr>
              <w:pStyle w:val="ListParagraph"/>
              <w:numPr>
                <w:ilvl w:val="0"/>
                <w:numId w:val="18"/>
              </w:numPr>
              <w:spacing w:before="0" w:beforeAutospacing="0" w:after="0" w:afterAutospacing="0"/>
              <w:jc w:val="both"/>
              <w:rPr>
                <w:rFonts w:ascii="Arial" w:hAnsi="Arial" w:cs="Arial"/>
                <w:b/>
                <w:sz w:val="20"/>
                <w:szCs w:val="20"/>
              </w:rPr>
            </w:pPr>
            <w:r w:rsidRPr="008342ED">
              <w:rPr>
                <w:rFonts w:ascii="Arial" w:hAnsi="Arial" w:cs="Arial"/>
                <w:sz w:val="20"/>
                <w:szCs w:val="20"/>
              </w:rPr>
              <w:t xml:space="preserve">Support the departmental setting and delivery of operational budgets ensuring an efficient and effective operating model which minimises cost and maximises contribution to financial sustainability without compromising the member experience. </w:t>
            </w:r>
          </w:p>
          <w:p w14:paraId="3D640FE4" w14:textId="53A371E6" w:rsidR="001F002C" w:rsidRPr="001F002C" w:rsidRDefault="00067EE0" w:rsidP="00067EE0">
            <w:pPr>
              <w:pStyle w:val="ListParagraph"/>
              <w:numPr>
                <w:ilvl w:val="0"/>
                <w:numId w:val="18"/>
              </w:numPr>
              <w:spacing w:before="0" w:beforeAutospacing="0" w:after="0" w:afterAutospacing="0"/>
              <w:rPr>
                <w:rFonts w:ascii="Arial" w:hAnsi="Arial" w:cs="Arial"/>
                <w:sz w:val="20"/>
                <w:szCs w:val="20"/>
              </w:rPr>
            </w:pPr>
            <w:r w:rsidRPr="594375F1">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 xml:space="preserve">Group Risk and Compliance </w:t>
            </w:r>
            <w:r w:rsidRPr="594375F1">
              <w:rPr>
                <w:rFonts w:ascii="Arial" w:eastAsia="Calibri" w:hAnsi="Arial" w:cs="Arial"/>
                <w:sz w:val="20"/>
                <w:szCs w:val="20"/>
              </w:rPr>
              <w:t>leadership team and Executive Director</w:t>
            </w:r>
          </w:p>
        </w:tc>
        <w:tc>
          <w:tcPr>
            <w:tcW w:w="4141" w:type="dxa"/>
          </w:tcPr>
          <w:p w14:paraId="1642A064" w14:textId="77777777" w:rsidR="001F002C" w:rsidRDefault="001F002C" w:rsidP="001F002C">
            <w:pPr>
              <w:pStyle w:val="ListParagraph"/>
              <w:ind w:left="360"/>
              <w:rPr>
                <w:rFonts w:ascii="Arial" w:eastAsia="Calibri" w:hAnsi="Arial" w:cs="Arial"/>
                <w:sz w:val="20"/>
                <w:szCs w:val="20"/>
              </w:rPr>
            </w:pPr>
          </w:p>
          <w:p w14:paraId="150FDCFF" w14:textId="77777777" w:rsidR="001F002C" w:rsidRDefault="001F002C" w:rsidP="001F002C">
            <w:pPr>
              <w:pStyle w:val="ListParagraph"/>
              <w:ind w:left="360"/>
              <w:rPr>
                <w:rFonts w:ascii="Arial" w:eastAsia="Calibri" w:hAnsi="Arial" w:cs="Arial"/>
                <w:sz w:val="20"/>
                <w:szCs w:val="20"/>
              </w:rPr>
            </w:pPr>
          </w:p>
          <w:p w14:paraId="35E8A8C4" w14:textId="1C9DCCC0" w:rsidR="001F002C" w:rsidRPr="001F002C" w:rsidRDefault="001F002C" w:rsidP="001F002C">
            <w:pPr>
              <w:pStyle w:val="ListParagraph"/>
              <w:numPr>
                <w:ilvl w:val="0"/>
                <w:numId w:val="21"/>
              </w:numPr>
              <w:spacing w:after="0"/>
              <w:ind w:left="317" w:hanging="284"/>
              <w:rPr>
                <w:rFonts w:ascii="Arial" w:hAnsi="Arial" w:cs="Arial"/>
                <w:sz w:val="20"/>
                <w:szCs w:val="20"/>
              </w:rPr>
            </w:pPr>
            <w:r>
              <w:rPr>
                <w:rFonts w:ascii="Arial" w:eastAsia="Calibri" w:hAnsi="Arial" w:cs="Arial"/>
                <w:sz w:val="20"/>
                <w:szCs w:val="20"/>
              </w:rPr>
              <w:t>Expenses and other costs managed within departmental budget and Group Policy</w:t>
            </w:r>
          </w:p>
        </w:tc>
      </w:tr>
      <w:tr w:rsidR="001F002C" w:rsidRPr="00B75089" w14:paraId="0A8B6369" w14:textId="77777777" w:rsidTr="009E22D0">
        <w:trPr>
          <w:trHeight w:val="578"/>
        </w:trPr>
        <w:tc>
          <w:tcPr>
            <w:tcW w:w="6346" w:type="dxa"/>
          </w:tcPr>
          <w:p w14:paraId="6E2CE8D1" w14:textId="77777777" w:rsidR="001F002C" w:rsidRDefault="001F002C" w:rsidP="001F002C">
            <w:pPr>
              <w:rPr>
                <w:rFonts w:ascii="Arial" w:hAnsi="Arial" w:cs="Arial"/>
                <w:b/>
                <w:bCs/>
                <w:sz w:val="20"/>
                <w:szCs w:val="20"/>
              </w:rPr>
            </w:pPr>
            <w:r w:rsidRPr="00682B78">
              <w:rPr>
                <w:rFonts w:ascii="Arial" w:hAnsi="Arial" w:cs="Arial"/>
                <w:b/>
                <w:bCs/>
                <w:sz w:val="20"/>
                <w:szCs w:val="20"/>
              </w:rPr>
              <w:t>Member</w:t>
            </w:r>
          </w:p>
          <w:p w14:paraId="4BEC9E40" w14:textId="1AA0CBC5" w:rsidR="001F002C" w:rsidRPr="00B91D54" w:rsidRDefault="001F002C" w:rsidP="001F002C">
            <w:pPr>
              <w:pStyle w:val="ListParagraph"/>
              <w:numPr>
                <w:ilvl w:val="0"/>
                <w:numId w:val="3"/>
              </w:numPr>
              <w:spacing w:before="0" w:beforeAutospacing="0" w:after="0" w:afterAutospacing="0"/>
              <w:ind w:left="360"/>
              <w:rPr>
                <w:rFonts w:ascii="Arial" w:hAnsi="Arial" w:cs="Arial"/>
                <w:b/>
                <w:bCs/>
                <w:sz w:val="20"/>
                <w:szCs w:val="20"/>
              </w:rPr>
            </w:pPr>
            <w:r>
              <w:rPr>
                <w:rFonts w:ascii="Arial" w:hAnsi="Arial" w:cs="Arial"/>
                <w:sz w:val="20"/>
                <w:szCs w:val="20"/>
              </w:rPr>
              <w:lastRenderedPageBreak/>
              <w:t xml:space="preserve">Provide </w:t>
            </w:r>
            <w:r w:rsidRPr="008267FA">
              <w:rPr>
                <w:rFonts w:ascii="Arial" w:hAnsi="Arial" w:cs="Arial"/>
                <w:sz w:val="20"/>
                <w:szCs w:val="20"/>
              </w:rPr>
              <w:t>2</w:t>
            </w:r>
            <w:r w:rsidRPr="008267FA">
              <w:rPr>
                <w:rFonts w:ascii="Arial" w:hAnsi="Arial" w:cs="Arial"/>
                <w:sz w:val="20"/>
                <w:szCs w:val="20"/>
                <w:vertAlign w:val="superscript"/>
              </w:rPr>
              <w:t>nd</w:t>
            </w:r>
            <w:r w:rsidRPr="008267FA">
              <w:rPr>
                <w:rFonts w:ascii="Arial" w:hAnsi="Arial" w:cs="Arial"/>
                <w:sz w:val="20"/>
                <w:szCs w:val="20"/>
              </w:rPr>
              <w:t xml:space="preserve"> Line oversight of MPS </w:t>
            </w:r>
            <w:r>
              <w:rPr>
                <w:rFonts w:ascii="Arial" w:hAnsi="Arial" w:cs="Arial"/>
                <w:sz w:val="20"/>
                <w:szCs w:val="20"/>
              </w:rPr>
              <w:t>operational risk and project risk</w:t>
            </w:r>
            <w:r w:rsidRPr="008267FA">
              <w:rPr>
                <w:rFonts w:ascii="Arial" w:hAnsi="Arial" w:cs="Arial"/>
                <w:sz w:val="20"/>
                <w:szCs w:val="20"/>
              </w:rPr>
              <w:t xml:space="preserve"> management to ensure MPS maintains a prudent and sustainable position which provides a long-term foundation for Members and the Membership Fund</w:t>
            </w:r>
          </w:p>
          <w:p w14:paraId="53B41211" w14:textId="77777777" w:rsidR="00067EE0" w:rsidRDefault="00067EE0" w:rsidP="00067EE0">
            <w:pPr>
              <w:pStyle w:val="ListParagraph"/>
              <w:numPr>
                <w:ilvl w:val="0"/>
                <w:numId w:val="3"/>
              </w:numPr>
              <w:ind w:left="360"/>
              <w:jc w:val="both"/>
              <w:rPr>
                <w:rFonts w:ascii="Arial" w:hAnsi="Arial" w:cs="Arial"/>
                <w:sz w:val="20"/>
                <w:szCs w:val="20"/>
              </w:rPr>
            </w:pPr>
            <w:r w:rsidRPr="594375F1">
              <w:rPr>
                <w:rFonts w:ascii="Arial" w:hAnsi="Arial" w:cs="Arial"/>
                <w:sz w:val="20"/>
                <w:szCs w:val="20"/>
              </w:rPr>
              <w:t xml:space="preserve">Lead for a culture and capability in Lean / continuous improvement to drive operational efficiency and greater member experiences and </w:t>
            </w:r>
            <w:proofErr w:type="gramStart"/>
            <w:r w:rsidRPr="594375F1">
              <w:rPr>
                <w:rFonts w:ascii="Arial" w:hAnsi="Arial" w:cs="Arial"/>
                <w:sz w:val="20"/>
                <w:szCs w:val="20"/>
              </w:rPr>
              <w:t>outcomes</w:t>
            </w:r>
            <w:proofErr w:type="gramEnd"/>
          </w:p>
          <w:p w14:paraId="21BD62EE" w14:textId="77777777" w:rsidR="00067EE0" w:rsidRPr="008267FA" w:rsidRDefault="00067EE0" w:rsidP="00B91D54">
            <w:pPr>
              <w:pStyle w:val="ListParagraph"/>
              <w:spacing w:before="0" w:beforeAutospacing="0" w:after="0" w:afterAutospacing="0"/>
              <w:ind w:left="360"/>
              <w:rPr>
                <w:rFonts w:ascii="Arial" w:hAnsi="Arial" w:cs="Arial"/>
                <w:b/>
                <w:bCs/>
                <w:sz w:val="20"/>
                <w:szCs w:val="20"/>
              </w:rPr>
            </w:pPr>
          </w:p>
          <w:p w14:paraId="56EB3E16" w14:textId="6CC4985F" w:rsidR="001F002C" w:rsidRPr="00B75089" w:rsidRDefault="001F002C" w:rsidP="00FB348F">
            <w:pPr>
              <w:pStyle w:val="ListParagraph"/>
              <w:spacing w:before="0" w:beforeAutospacing="0" w:after="0" w:afterAutospacing="0"/>
              <w:ind w:left="360"/>
              <w:rPr>
                <w:rFonts w:ascii="Arial" w:hAnsi="Arial" w:cs="Arial"/>
                <w:sz w:val="20"/>
                <w:szCs w:val="20"/>
              </w:rPr>
            </w:pPr>
          </w:p>
        </w:tc>
        <w:tc>
          <w:tcPr>
            <w:tcW w:w="4141" w:type="dxa"/>
          </w:tcPr>
          <w:p w14:paraId="75296D82" w14:textId="77777777" w:rsidR="001F002C" w:rsidRDefault="001F002C" w:rsidP="001F002C">
            <w:pPr>
              <w:pStyle w:val="ListParagraph"/>
              <w:ind w:left="360"/>
              <w:rPr>
                <w:rFonts w:ascii="Arial" w:eastAsia="Calibri" w:hAnsi="Arial" w:cs="Arial"/>
                <w:sz w:val="20"/>
                <w:szCs w:val="20"/>
              </w:rPr>
            </w:pPr>
          </w:p>
          <w:p w14:paraId="515B152D" w14:textId="77777777" w:rsidR="001F002C" w:rsidRDefault="001F002C" w:rsidP="001F002C">
            <w:pPr>
              <w:pStyle w:val="ListParagraph"/>
              <w:ind w:left="360"/>
              <w:rPr>
                <w:rFonts w:ascii="Arial" w:eastAsia="Calibri" w:hAnsi="Arial" w:cs="Arial"/>
                <w:sz w:val="20"/>
                <w:szCs w:val="20"/>
              </w:rPr>
            </w:pPr>
          </w:p>
          <w:p w14:paraId="75564B15" w14:textId="7EE67E81" w:rsidR="001F002C" w:rsidRPr="00B75089" w:rsidRDefault="001F002C" w:rsidP="001F002C">
            <w:pPr>
              <w:pStyle w:val="ListParagraph"/>
              <w:numPr>
                <w:ilvl w:val="0"/>
                <w:numId w:val="4"/>
              </w:numPr>
              <w:ind w:left="317" w:hanging="284"/>
              <w:rPr>
                <w:rFonts w:ascii="Arial" w:hAnsi="Arial" w:cs="Arial"/>
                <w:sz w:val="20"/>
                <w:szCs w:val="20"/>
              </w:rPr>
            </w:pPr>
            <w:r>
              <w:rPr>
                <w:rFonts w:ascii="Arial" w:hAnsi="Arial" w:cs="Arial"/>
                <w:sz w:val="20"/>
                <w:szCs w:val="20"/>
              </w:rPr>
              <w:lastRenderedPageBreak/>
              <w:t>Established and embedded operational risk framework and system</w:t>
            </w:r>
          </w:p>
        </w:tc>
      </w:tr>
      <w:tr w:rsidR="001811EC" w:rsidRPr="00B75089" w14:paraId="36F0D84C" w14:textId="77777777" w:rsidTr="009E22D0">
        <w:trPr>
          <w:trHeight w:val="591"/>
        </w:trPr>
        <w:tc>
          <w:tcPr>
            <w:tcW w:w="6346" w:type="dxa"/>
          </w:tcPr>
          <w:p w14:paraId="6FEF2F3C" w14:textId="77777777" w:rsidR="001811EC" w:rsidRDefault="001811EC" w:rsidP="001811EC">
            <w:pPr>
              <w:rPr>
                <w:rFonts w:ascii="Arial" w:hAnsi="Arial" w:cs="Arial"/>
                <w:b/>
                <w:bCs/>
                <w:sz w:val="20"/>
                <w:szCs w:val="20"/>
              </w:rPr>
            </w:pPr>
            <w:r w:rsidRPr="00682B78">
              <w:rPr>
                <w:rFonts w:ascii="Arial" w:hAnsi="Arial" w:cs="Arial"/>
                <w:b/>
                <w:bCs/>
                <w:sz w:val="20"/>
                <w:szCs w:val="20"/>
              </w:rPr>
              <w:lastRenderedPageBreak/>
              <w:t>People</w:t>
            </w:r>
          </w:p>
          <w:p w14:paraId="5E34B127" w14:textId="77777777" w:rsidR="00067EE0" w:rsidRPr="00424CA2" w:rsidRDefault="00067EE0" w:rsidP="00067EE0">
            <w:pPr>
              <w:pStyle w:val="ListParagraph"/>
              <w:numPr>
                <w:ilvl w:val="0"/>
                <w:numId w:val="5"/>
              </w:numPr>
              <w:jc w:val="both"/>
              <w:rPr>
                <w:rFonts w:ascii="Arial" w:hAnsi="Arial" w:cs="Arial"/>
                <w:sz w:val="20"/>
                <w:szCs w:val="20"/>
              </w:rPr>
            </w:pPr>
            <w:r w:rsidRPr="00424CA2">
              <w:rPr>
                <w:rFonts w:ascii="Arial" w:hAnsi="Arial" w:cs="Arial"/>
                <w:sz w:val="20"/>
                <w:szCs w:val="20"/>
              </w:rPr>
              <w:t xml:space="preserve">Provide strong leadership to the </w:t>
            </w:r>
            <w:r>
              <w:rPr>
                <w:rFonts w:ascii="Arial" w:hAnsi="Arial" w:cs="Arial"/>
                <w:sz w:val="20"/>
                <w:szCs w:val="20"/>
              </w:rPr>
              <w:t xml:space="preserve">Group Risk and Compliance teams </w:t>
            </w:r>
            <w:r w:rsidRPr="00424CA2">
              <w:rPr>
                <w:rFonts w:ascii="Arial" w:hAnsi="Arial" w:cs="Arial"/>
                <w:sz w:val="20"/>
                <w:szCs w:val="20"/>
              </w:rPr>
              <w:t xml:space="preserve">to ensure the </w:t>
            </w:r>
            <w:proofErr w:type="gramStart"/>
            <w:r w:rsidRPr="00424CA2">
              <w:rPr>
                <w:rFonts w:ascii="Arial" w:hAnsi="Arial" w:cs="Arial"/>
                <w:sz w:val="20"/>
                <w:szCs w:val="20"/>
              </w:rPr>
              <w:t>training,  competence</w:t>
            </w:r>
            <w:proofErr w:type="gramEnd"/>
            <w:r w:rsidRPr="00424CA2">
              <w:rPr>
                <w:rFonts w:ascii="Arial" w:hAnsi="Arial" w:cs="Arial"/>
                <w:sz w:val="20"/>
                <w:szCs w:val="20"/>
              </w:rPr>
              <w:t>, performance and engagement of all employees who are focussed on delivering for members, have clarity on their accountabilities and comply with all governance,  policy standards  and processes</w:t>
            </w:r>
          </w:p>
          <w:p w14:paraId="267D02E8" w14:textId="77777777" w:rsidR="00067EE0" w:rsidRDefault="00067EE0" w:rsidP="00067EE0">
            <w:pPr>
              <w:pStyle w:val="ListParagraph"/>
              <w:numPr>
                <w:ilvl w:val="0"/>
                <w:numId w:val="27"/>
              </w:numPr>
              <w:jc w:val="both"/>
              <w:rPr>
                <w:rFonts w:ascii="Arial" w:hAnsi="Arial" w:cs="Arial"/>
                <w:sz w:val="20"/>
                <w:szCs w:val="20"/>
              </w:rPr>
            </w:pPr>
            <w:r>
              <w:rPr>
                <w:rFonts w:ascii="Arial" w:hAnsi="Arial" w:cs="Arial"/>
                <w:sz w:val="20"/>
                <w:szCs w:val="20"/>
              </w:rPr>
              <w:t xml:space="preserve">Build a strong pipeline of diverse talent and succession across the GRC Division for the benefit of MPS which will mitigate workforce planning risks, embraces </w:t>
            </w:r>
            <w:proofErr w:type="gramStart"/>
            <w:r>
              <w:rPr>
                <w:rFonts w:ascii="Arial" w:hAnsi="Arial" w:cs="Arial"/>
                <w:sz w:val="20"/>
                <w:szCs w:val="20"/>
              </w:rPr>
              <w:t>diversity</w:t>
            </w:r>
            <w:proofErr w:type="gramEnd"/>
            <w:r>
              <w:rPr>
                <w:rFonts w:ascii="Arial" w:hAnsi="Arial" w:cs="Arial"/>
                <w:sz w:val="20"/>
                <w:szCs w:val="20"/>
              </w:rPr>
              <w:t xml:space="preserve"> and maximises the performance and potential of employees.</w:t>
            </w:r>
          </w:p>
          <w:p w14:paraId="24E53AAD" w14:textId="77777777" w:rsidR="00067EE0" w:rsidRDefault="00067EE0" w:rsidP="00067EE0">
            <w:pPr>
              <w:pStyle w:val="ListParagraph"/>
              <w:numPr>
                <w:ilvl w:val="0"/>
                <w:numId w:val="27"/>
              </w:numPr>
              <w:jc w:val="both"/>
              <w:rPr>
                <w:rFonts w:ascii="Arial" w:hAnsi="Arial" w:cs="Arial"/>
                <w:sz w:val="20"/>
                <w:szCs w:val="20"/>
              </w:rPr>
            </w:pPr>
            <w:r w:rsidRPr="00490AE0">
              <w:rPr>
                <w:rFonts w:ascii="Arial" w:hAnsi="Arial" w:cs="Arial"/>
                <w:sz w:val="20"/>
                <w:szCs w:val="20"/>
              </w:rPr>
              <w:t xml:space="preserve">Provide inspirational leadership to engage with and motivate </w:t>
            </w:r>
            <w:proofErr w:type="gramStart"/>
            <w:r w:rsidRPr="00490AE0">
              <w:rPr>
                <w:rFonts w:ascii="Arial" w:hAnsi="Arial" w:cs="Arial"/>
                <w:sz w:val="20"/>
                <w:szCs w:val="20"/>
              </w:rPr>
              <w:t>colleague</w:t>
            </w:r>
            <w:proofErr w:type="gramEnd"/>
          </w:p>
          <w:p w14:paraId="3C25B7E0" w14:textId="53605E66" w:rsidR="00067EE0" w:rsidRPr="00B91D54" w:rsidRDefault="00067EE0" w:rsidP="00B91D54">
            <w:pPr>
              <w:pStyle w:val="ListParagraph"/>
              <w:numPr>
                <w:ilvl w:val="0"/>
                <w:numId w:val="27"/>
              </w:numPr>
              <w:jc w:val="both"/>
              <w:rPr>
                <w:rFonts w:ascii="Arial" w:hAnsi="Arial" w:cs="Arial"/>
                <w:sz w:val="20"/>
                <w:szCs w:val="20"/>
              </w:rPr>
            </w:pPr>
            <w:r w:rsidRPr="000D1EFB">
              <w:rPr>
                <w:rFonts w:ascii="Arial" w:hAnsi="Arial" w:cs="Arial"/>
                <w:sz w:val="20"/>
                <w:szCs w:val="20"/>
              </w:rPr>
              <w:t>Take the lead on promoting a more inclusive environment, which aligns with our commitment to celebrate and promote diversity.</w:t>
            </w:r>
          </w:p>
          <w:p w14:paraId="3D6E33A5" w14:textId="5B5A8ED0" w:rsidR="001811EC" w:rsidRDefault="001811EC" w:rsidP="001811EC">
            <w:pPr>
              <w:pStyle w:val="ListParagraph"/>
              <w:numPr>
                <w:ilvl w:val="0"/>
                <w:numId w:val="27"/>
              </w:numPr>
              <w:spacing w:before="0" w:beforeAutospacing="0" w:after="0" w:afterAutospacing="0"/>
              <w:rPr>
                <w:rFonts w:ascii="Arial" w:hAnsi="Arial" w:cs="Arial"/>
                <w:sz w:val="20"/>
                <w:szCs w:val="20"/>
              </w:rPr>
            </w:pPr>
            <w:r w:rsidRPr="00FA515D">
              <w:rPr>
                <w:rFonts w:ascii="Arial" w:hAnsi="Arial" w:cs="Arial"/>
                <w:sz w:val="20"/>
                <w:szCs w:val="20"/>
              </w:rPr>
              <w:t xml:space="preserve">Develop key stakeholder relationships to raise awareness and </w:t>
            </w:r>
            <w:r>
              <w:rPr>
                <w:rFonts w:ascii="Arial" w:hAnsi="Arial" w:cs="Arial"/>
                <w:sz w:val="20"/>
                <w:szCs w:val="20"/>
              </w:rPr>
              <w:t>understanding of</w:t>
            </w:r>
            <w:r w:rsidRPr="00FA515D">
              <w:rPr>
                <w:rFonts w:ascii="Arial" w:hAnsi="Arial" w:cs="Arial"/>
                <w:sz w:val="20"/>
                <w:szCs w:val="20"/>
              </w:rPr>
              <w:t xml:space="preserve"> risk management and risk quantification whilst continuing to provide </w:t>
            </w:r>
            <w:r>
              <w:rPr>
                <w:rFonts w:ascii="Arial" w:hAnsi="Arial" w:cs="Arial"/>
                <w:sz w:val="20"/>
                <w:szCs w:val="20"/>
              </w:rPr>
              <w:t>2</w:t>
            </w:r>
            <w:r w:rsidRPr="0099448F">
              <w:rPr>
                <w:rFonts w:ascii="Arial" w:hAnsi="Arial" w:cs="Arial"/>
                <w:sz w:val="20"/>
                <w:szCs w:val="20"/>
                <w:vertAlign w:val="superscript"/>
              </w:rPr>
              <w:t>nd</w:t>
            </w:r>
            <w:r>
              <w:rPr>
                <w:rFonts w:ascii="Arial" w:hAnsi="Arial" w:cs="Arial"/>
                <w:sz w:val="20"/>
                <w:szCs w:val="20"/>
              </w:rPr>
              <w:t xml:space="preserve"> Line </w:t>
            </w:r>
            <w:proofErr w:type="gramStart"/>
            <w:r w:rsidRPr="00FA515D">
              <w:rPr>
                <w:rFonts w:ascii="Arial" w:hAnsi="Arial" w:cs="Arial"/>
                <w:sz w:val="20"/>
                <w:szCs w:val="20"/>
              </w:rPr>
              <w:t>challenge</w:t>
            </w:r>
            <w:proofErr w:type="gramEnd"/>
          </w:p>
          <w:p w14:paraId="47C00D38" w14:textId="18FB9BDF" w:rsidR="001811EC" w:rsidRDefault="001811EC" w:rsidP="001811EC">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Influence and deliver clear messages regarding </w:t>
            </w:r>
            <w:r w:rsidR="00A5016D">
              <w:rPr>
                <w:rFonts w:ascii="Arial" w:hAnsi="Arial" w:cs="Arial"/>
                <w:sz w:val="20"/>
                <w:szCs w:val="20"/>
              </w:rPr>
              <w:t>non-</w:t>
            </w:r>
            <w:r>
              <w:rPr>
                <w:rFonts w:ascii="Arial" w:hAnsi="Arial" w:cs="Arial"/>
                <w:sz w:val="20"/>
                <w:szCs w:val="20"/>
              </w:rPr>
              <w:t>financial risk across the organisation including the Executive and Council</w:t>
            </w:r>
          </w:p>
          <w:p w14:paraId="4A91A7E8" w14:textId="7BF735B7" w:rsidR="001050E3" w:rsidRPr="001811EC" w:rsidRDefault="001050E3" w:rsidP="001811EC">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Deliver training to and coordination with </w:t>
            </w:r>
            <w:r w:rsidR="00363C5A">
              <w:rPr>
                <w:rFonts w:ascii="Arial" w:hAnsi="Arial" w:cs="Arial"/>
                <w:sz w:val="20"/>
                <w:szCs w:val="20"/>
              </w:rPr>
              <w:t xml:space="preserve">risk/control champions/leads </w:t>
            </w:r>
            <w:r w:rsidR="00452613">
              <w:rPr>
                <w:rFonts w:ascii="Arial" w:hAnsi="Arial" w:cs="Arial"/>
                <w:sz w:val="20"/>
                <w:szCs w:val="20"/>
              </w:rPr>
              <w:t xml:space="preserve">and risk owners </w:t>
            </w:r>
            <w:r w:rsidR="00363C5A">
              <w:rPr>
                <w:rFonts w:ascii="Arial" w:hAnsi="Arial" w:cs="Arial"/>
                <w:sz w:val="20"/>
                <w:szCs w:val="20"/>
              </w:rPr>
              <w:t>within the 1</w:t>
            </w:r>
            <w:r w:rsidR="00363C5A" w:rsidRPr="00363C5A">
              <w:rPr>
                <w:rFonts w:ascii="Arial" w:hAnsi="Arial" w:cs="Arial"/>
                <w:sz w:val="20"/>
                <w:szCs w:val="20"/>
                <w:vertAlign w:val="superscript"/>
              </w:rPr>
              <w:t>st</w:t>
            </w:r>
            <w:r w:rsidR="00363C5A">
              <w:rPr>
                <w:rFonts w:ascii="Arial" w:hAnsi="Arial" w:cs="Arial"/>
                <w:sz w:val="20"/>
                <w:szCs w:val="20"/>
              </w:rPr>
              <w:t xml:space="preserve"> line</w:t>
            </w:r>
          </w:p>
        </w:tc>
        <w:tc>
          <w:tcPr>
            <w:tcW w:w="4141" w:type="dxa"/>
          </w:tcPr>
          <w:p w14:paraId="6ADE5DB1" w14:textId="77777777" w:rsidR="001811EC" w:rsidRDefault="001811EC" w:rsidP="001811EC">
            <w:pPr>
              <w:pStyle w:val="ListParagraph"/>
              <w:ind w:left="360"/>
              <w:rPr>
                <w:rFonts w:ascii="Arial" w:hAnsi="Arial" w:cs="Arial"/>
                <w:sz w:val="20"/>
                <w:szCs w:val="20"/>
              </w:rPr>
            </w:pPr>
          </w:p>
          <w:p w14:paraId="6FBD4CCE" w14:textId="77777777" w:rsidR="001811EC" w:rsidRDefault="001811EC" w:rsidP="001811EC">
            <w:pPr>
              <w:pStyle w:val="ListParagraph"/>
              <w:ind w:left="360"/>
              <w:rPr>
                <w:rFonts w:ascii="Arial" w:hAnsi="Arial" w:cs="Arial"/>
                <w:sz w:val="20"/>
                <w:szCs w:val="20"/>
              </w:rPr>
            </w:pPr>
          </w:p>
          <w:p w14:paraId="4C385E44" w14:textId="77777777" w:rsidR="001811EC" w:rsidRDefault="001811EC" w:rsidP="001811EC">
            <w:pPr>
              <w:pStyle w:val="ListParagraph"/>
              <w:numPr>
                <w:ilvl w:val="0"/>
                <w:numId w:val="4"/>
              </w:numPr>
              <w:ind w:left="360"/>
              <w:rPr>
                <w:rFonts w:ascii="Arial" w:hAnsi="Arial" w:cs="Arial"/>
                <w:sz w:val="20"/>
                <w:szCs w:val="20"/>
              </w:rPr>
            </w:pPr>
            <w:r>
              <w:rPr>
                <w:rFonts w:ascii="Arial" w:hAnsi="Arial" w:cs="Arial"/>
                <w:sz w:val="20"/>
                <w:szCs w:val="20"/>
              </w:rPr>
              <w:t>Improved understanding of risk management across MPS</w:t>
            </w:r>
          </w:p>
          <w:p w14:paraId="2985320B" w14:textId="77777777" w:rsidR="001811EC" w:rsidRDefault="001811EC" w:rsidP="001811EC">
            <w:pPr>
              <w:pStyle w:val="ListParagraph"/>
              <w:numPr>
                <w:ilvl w:val="0"/>
                <w:numId w:val="4"/>
              </w:numPr>
              <w:ind w:left="360"/>
              <w:rPr>
                <w:rFonts w:ascii="Arial" w:hAnsi="Arial" w:cs="Arial"/>
                <w:sz w:val="20"/>
                <w:szCs w:val="20"/>
              </w:rPr>
            </w:pPr>
            <w:r>
              <w:rPr>
                <w:rFonts w:ascii="Arial" w:hAnsi="Arial" w:cs="Arial"/>
                <w:sz w:val="20"/>
                <w:szCs w:val="20"/>
              </w:rPr>
              <w:t>Executive and Council Feedback</w:t>
            </w:r>
          </w:p>
          <w:p w14:paraId="6E8BF931" w14:textId="77777777" w:rsidR="00FB348F" w:rsidRDefault="001811EC" w:rsidP="00FB348F">
            <w:pPr>
              <w:pStyle w:val="ListParagraph"/>
              <w:numPr>
                <w:ilvl w:val="0"/>
                <w:numId w:val="4"/>
              </w:numPr>
              <w:ind w:left="360"/>
              <w:rPr>
                <w:rFonts w:ascii="Arial" w:hAnsi="Arial" w:cs="Arial"/>
                <w:sz w:val="20"/>
                <w:szCs w:val="20"/>
              </w:rPr>
            </w:pPr>
            <w:r>
              <w:rPr>
                <w:rFonts w:ascii="Arial" w:hAnsi="Arial" w:cs="Arial"/>
                <w:sz w:val="20"/>
                <w:szCs w:val="20"/>
              </w:rPr>
              <w:t>Delivery of PDP vs Plan</w:t>
            </w:r>
          </w:p>
          <w:p w14:paraId="7500BADD" w14:textId="77777777" w:rsidR="001811EC" w:rsidRDefault="001811EC" w:rsidP="00FB348F">
            <w:pPr>
              <w:pStyle w:val="ListParagraph"/>
              <w:numPr>
                <w:ilvl w:val="0"/>
                <w:numId w:val="4"/>
              </w:numPr>
              <w:ind w:left="360"/>
              <w:rPr>
                <w:rFonts w:ascii="Arial" w:hAnsi="Arial" w:cs="Arial"/>
                <w:sz w:val="20"/>
                <w:szCs w:val="20"/>
              </w:rPr>
            </w:pPr>
            <w:r w:rsidRPr="00FB348F">
              <w:rPr>
                <w:rFonts w:ascii="Arial" w:hAnsi="Arial" w:cs="Arial"/>
                <w:sz w:val="20"/>
                <w:szCs w:val="20"/>
              </w:rPr>
              <w:t>Feedback from direct report</w:t>
            </w:r>
            <w:r w:rsidR="002567B1">
              <w:rPr>
                <w:rFonts w:ascii="Arial" w:hAnsi="Arial" w:cs="Arial"/>
                <w:sz w:val="20"/>
                <w:szCs w:val="20"/>
              </w:rPr>
              <w:t>s</w:t>
            </w:r>
          </w:p>
          <w:p w14:paraId="7DCCD523" w14:textId="77777777" w:rsidR="00452613" w:rsidRDefault="00452613" w:rsidP="00FB348F">
            <w:pPr>
              <w:pStyle w:val="ListParagraph"/>
              <w:numPr>
                <w:ilvl w:val="0"/>
                <w:numId w:val="4"/>
              </w:numPr>
              <w:ind w:left="360"/>
              <w:rPr>
                <w:rFonts w:ascii="Arial" w:hAnsi="Arial" w:cs="Arial"/>
                <w:sz w:val="20"/>
                <w:szCs w:val="20"/>
              </w:rPr>
            </w:pPr>
            <w:r>
              <w:rPr>
                <w:rFonts w:ascii="Arial" w:hAnsi="Arial" w:cs="Arial"/>
                <w:sz w:val="20"/>
                <w:szCs w:val="20"/>
              </w:rPr>
              <w:t>Feedback from 1</w:t>
            </w:r>
            <w:r w:rsidRPr="00452613">
              <w:rPr>
                <w:rFonts w:ascii="Arial" w:hAnsi="Arial" w:cs="Arial"/>
                <w:sz w:val="20"/>
                <w:szCs w:val="20"/>
                <w:vertAlign w:val="superscript"/>
              </w:rPr>
              <w:t>st</w:t>
            </w:r>
            <w:r>
              <w:rPr>
                <w:rFonts w:ascii="Arial" w:hAnsi="Arial" w:cs="Arial"/>
                <w:sz w:val="20"/>
                <w:szCs w:val="20"/>
              </w:rPr>
              <w:t xml:space="preserve"> line training</w:t>
            </w:r>
          </w:p>
          <w:p w14:paraId="0AC5A7EA" w14:textId="77777777" w:rsidR="00067EE0" w:rsidRPr="00682B78" w:rsidRDefault="00067EE0" w:rsidP="00067EE0">
            <w:pPr>
              <w:pStyle w:val="ListParagraph"/>
              <w:numPr>
                <w:ilvl w:val="0"/>
                <w:numId w:val="4"/>
              </w:numPr>
              <w:ind w:left="360"/>
              <w:rPr>
                <w:rFonts w:ascii="Arial" w:hAnsi="Arial" w:cs="Arial"/>
                <w:sz w:val="20"/>
                <w:szCs w:val="20"/>
              </w:rPr>
            </w:pPr>
            <w:r w:rsidRPr="00682B78">
              <w:rPr>
                <w:rFonts w:ascii="Arial" w:hAnsi="Arial" w:cs="Arial"/>
                <w:sz w:val="20"/>
                <w:szCs w:val="20"/>
              </w:rPr>
              <w:t xml:space="preserve">Engagement Index </w:t>
            </w:r>
          </w:p>
          <w:p w14:paraId="5BC76511" w14:textId="77777777" w:rsidR="00067EE0" w:rsidRDefault="00067EE0" w:rsidP="00067EE0">
            <w:pPr>
              <w:pStyle w:val="ListParagraph"/>
              <w:numPr>
                <w:ilvl w:val="0"/>
                <w:numId w:val="4"/>
              </w:numPr>
              <w:ind w:left="360"/>
              <w:rPr>
                <w:rFonts w:ascii="Arial" w:hAnsi="Arial" w:cs="Arial"/>
                <w:sz w:val="20"/>
                <w:szCs w:val="20"/>
              </w:rPr>
            </w:pPr>
            <w:r w:rsidRPr="00682B78">
              <w:rPr>
                <w:rFonts w:ascii="Arial" w:hAnsi="Arial" w:cs="Arial"/>
                <w:sz w:val="20"/>
                <w:szCs w:val="20"/>
              </w:rPr>
              <w:t xml:space="preserve">Leadership Index </w:t>
            </w:r>
          </w:p>
          <w:p w14:paraId="0B7D2BB3" w14:textId="77777777" w:rsidR="00067EE0" w:rsidRPr="00682B78" w:rsidRDefault="00067EE0" w:rsidP="00067EE0">
            <w:pPr>
              <w:pStyle w:val="ListParagraph"/>
              <w:numPr>
                <w:ilvl w:val="0"/>
                <w:numId w:val="4"/>
              </w:numPr>
              <w:ind w:left="360"/>
              <w:rPr>
                <w:rFonts w:ascii="Arial" w:hAnsi="Arial" w:cs="Arial"/>
                <w:sz w:val="20"/>
                <w:szCs w:val="20"/>
              </w:rPr>
            </w:pPr>
            <w:r>
              <w:rPr>
                <w:rFonts w:ascii="Arial" w:hAnsi="Arial" w:cs="Arial"/>
                <w:sz w:val="20"/>
                <w:szCs w:val="20"/>
              </w:rPr>
              <w:t>Inclusion Index</w:t>
            </w:r>
          </w:p>
          <w:p w14:paraId="5C02226E" w14:textId="77777777" w:rsidR="00067EE0" w:rsidRPr="00682B78" w:rsidRDefault="00067EE0" w:rsidP="00067EE0">
            <w:pPr>
              <w:pStyle w:val="ListParagraph"/>
              <w:numPr>
                <w:ilvl w:val="0"/>
                <w:numId w:val="4"/>
              </w:numPr>
              <w:ind w:left="360"/>
              <w:rPr>
                <w:rFonts w:ascii="Arial" w:hAnsi="Arial" w:cs="Arial"/>
                <w:sz w:val="20"/>
                <w:szCs w:val="20"/>
              </w:rPr>
            </w:pPr>
            <w:r w:rsidRPr="00682B78">
              <w:rPr>
                <w:rFonts w:ascii="Arial" w:hAnsi="Arial" w:cs="Arial"/>
                <w:sz w:val="20"/>
                <w:szCs w:val="20"/>
              </w:rPr>
              <w:t>Strong Talent and Succession Plans</w:t>
            </w:r>
          </w:p>
          <w:p w14:paraId="30D35857" w14:textId="6F1FB79B" w:rsidR="00067EE0" w:rsidRPr="00FB348F" w:rsidRDefault="00067EE0" w:rsidP="00B91D54">
            <w:pPr>
              <w:pStyle w:val="ListParagraph"/>
              <w:ind w:left="360"/>
              <w:rPr>
                <w:rFonts w:ascii="Arial" w:hAnsi="Arial" w:cs="Arial"/>
                <w:sz w:val="20"/>
                <w:szCs w:val="20"/>
              </w:rPr>
            </w:pPr>
          </w:p>
        </w:tc>
      </w:tr>
      <w:tr w:rsidR="00DD53B2" w:rsidRPr="00B75089" w14:paraId="075B9F60" w14:textId="77777777" w:rsidTr="009E22D0">
        <w:trPr>
          <w:trHeight w:val="591"/>
        </w:trPr>
        <w:tc>
          <w:tcPr>
            <w:tcW w:w="6346" w:type="dxa"/>
          </w:tcPr>
          <w:p w14:paraId="293C5F45" w14:textId="77777777" w:rsidR="00DD53B2" w:rsidRPr="00682B78" w:rsidRDefault="00DD53B2" w:rsidP="00DD53B2">
            <w:pPr>
              <w:rPr>
                <w:rFonts w:ascii="Arial" w:hAnsi="Arial" w:cs="Arial"/>
                <w:b/>
                <w:bCs/>
                <w:sz w:val="20"/>
                <w:szCs w:val="20"/>
              </w:rPr>
            </w:pPr>
            <w:r>
              <w:rPr>
                <w:rFonts w:ascii="Arial" w:hAnsi="Arial" w:cs="Arial"/>
                <w:b/>
                <w:bCs/>
                <w:sz w:val="20"/>
                <w:szCs w:val="20"/>
              </w:rPr>
              <w:t xml:space="preserve">Risk </w:t>
            </w:r>
          </w:p>
          <w:p w14:paraId="326BD4D3" w14:textId="79898554" w:rsidR="00DD53B2" w:rsidRDefault="00DD53B2"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Developing </w:t>
            </w:r>
            <w:r w:rsidR="00546DCC">
              <w:rPr>
                <w:rFonts w:ascii="Arial" w:hAnsi="Arial" w:cs="Arial"/>
                <w:sz w:val="20"/>
                <w:szCs w:val="20"/>
              </w:rPr>
              <w:t xml:space="preserve">and maintaining a robust operational risk management framework </w:t>
            </w:r>
            <w:r w:rsidR="00646B3A">
              <w:rPr>
                <w:rFonts w:ascii="Arial" w:hAnsi="Arial" w:cs="Arial"/>
                <w:sz w:val="20"/>
                <w:szCs w:val="20"/>
              </w:rPr>
              <w:t>including for project/programme risks</w:t>
            </w:r>
          </w:p>
          <w:p w14:paraId="709FDB9E" w14:textId="5FC2E624" w:rsidR="006D03D1" w:rsidRDefault="006D03D1"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Developing and maintaining incident management </w:t>
            </w:r>
            <w:r w:rsidR="007D1D63">
              <w:rPr>
                <w:rFonts w:ascii="Arial" w:hAnsi="Arial" w:cs="Arial"/>
                <w:sz w:val="20"/>
                <w:szCs w:val="20"/>
              </w:rPr>
              <w:t>process</w:t>
            </w:r>
          </w:p>
          <w:p w14:paraId="6DD06543" w14:textId="6464C0E3" w:rsidR="00DD53B2" w:rsidRDefault="00DD53B2"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Developing appropriate KRIs </w:t>
            </w:r>
            <w:r w:rsidR="00E001A4">
              <w:rPr>
                <w:rFonts w:ascii="Arial" w:hAnsi="Arial" w:cs="Arial"/>
                <w:sz w:val="20"/>
                <w:szCs w:val="20"/>
              </w:rPr>
              <w:t>for operational risks</w:t>
            </w:r>
            <w:r>
              <w:rPr>
                <w:rFonts w:ascii="Arial" w:hAnsi="Arial" w:cs="Arial"/>
                <w:sz w:val="20"/>
                <w:szCs w:val="20"/>
              </w:rPr>
              <w:t xml:space="preserve"> in collaboration with the relevant 1</w:t>
            </w:r>
            <w:r w:rsidRPr="00DD6D64">
              <w:rPr>
                <w:rFonts w:ascii="Arial" w:hAnsi="Arial" w:cs="Arial"/>
                <w:sz w:val="20"/>
                <w:szCs w:val="20"/>
                <w:vertAlign w:val="superscript"/>
              </w:rPr>
              <w:t>st</w:t>
            </w:r>
            <w:r>
              <w:rPr>
                <w:rFonts w:ascii="Arial" w:hAnsi="Arial" w:cs="Arial"/>
                <w:sz w:val="20"/>
                <w:szCs w:val="20"/>
              </w:rPr>
              <w:t xml:space="preserve"> line accountable individuals</w:t>
            </w:r>
          </w:p>
          <w:p w14:paraId="6EC9A789" w14:textId="3A8A7BF5" w:rsidR="00DD53B2" w:rsidRDefault="00DD53B2"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Leading risk deep dives into </w:t>
            </w:r>
            <w:r w:rsidR="00E001A4">
              <w:rPr>
                <w:rFonts w:ascii="Arial" w:hAnsi="Arial" w:cs="Arial"/>
                <w:sz w:val="20"/>
                <w:szCs w:val="20"/>
              </w:rPr>
              <w:t>projects</w:t>
            </w:r>
            <w:r w:rsidR="003739F7">
              <w:rPr>
                <w:rFonts w:ascii="Arial" w:hAnsi="Arial" w:cs="Arial"/>
                <w:sz w:val="20"/>
                <w:szCs w:val="20"/>
              </w:rPr>
              <w:t>/programmes</w:t>
            </w:r>
            <w:r w:rsidR="00E001A4">
              <w:rPr>
                <w:rFonts w:ascii="Arial" w:hAnsi="Arial" w:cs="Arial"/>
                <w:sz w:val="20"/>
                <w:szCs w:val="20"/>
              </w:rPr>
              <w:t xml:space="preserve"> and operational</w:t>
            </w:r>
            <w:r>
              <w:rPr>
                <w:rFonts w:ascii="Arial" w:hAnsi="Arial" w:cs="Arial"/>
                <w:sz w:val="20"/>
                <w:szCs w:val="20"/>
              </w:rPr>
              <w:t xml:space="preserve"> processes</w:t>
            </w:r>
          </w:p>
          <w:p w14:paraId="4F041F8E" w14:textId="77777777" w:rsidR="003739F7" w:rsidRDefault="00DD53B2"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Providing oversight of the operational risks and controls</w:t>
            </w:r>
          </w:p>
          <w:p w14:paraId="492D17B3" w14:textId="63DD7153" w:rsidR="00DD53B2" w:rsidRDefault="00112730"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Oversighting and maintaining effective risk governance arrangements</w:t>
            </w:r>
            <w:r w:rsidR="000A292B">
              <w:rPr>
                <w:rFonts w:ascii="Arial" w:hAnsi="Arial" w:cs="Arial"/>
                <w:sz w:val="20"/>
                <w:szCs w:val="20"/>
              </w:rPr>
              <w:t xml:space="preserve"> (policies and committees)</w:t>
            </w:r>
            <w:r w:rsidR="00DD53B2">
              <w:rPr>
                <w:rFonts w:ascii="Arial" w:hAnsi="Arial" w:cs="Arial"/>
                <w:sz w:val="20"/>
                <w:szCs w:val="20"/>
              </w:rPr>
              <w:t xml:space="preserve"> </w:t>
            </w:r>
          </w:p>
          <w:p w14:paraId="61F2FB47" w14:textId="7C038559" w:rsidR="00DD53B2" w:rsidRDefault="00DD53B2"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Producing </w:t>
            </w:r>
            <w:r w:rsidR="00575436">
              <w:rPr>
                <w:rFonts w:ascii="Arial" w:hAnsi="Arial" w:cs="Arial"/>
                <w:sz w:val="20"/>
                <w:szCs w:val="20"/>
              </w:rPr>
              <w:t>operational</w:t>
            </w:r>
            <w:r>
              <w:rPr>
                <w:rFonts w:ascii="Arial" w:hAnsi="Arial" w:cs="Arial"/>
                <w:sz w:val="20"/>
                <w:szCs w:val="20"/>
              </w:rPr>
              <w:t xml:space="preserve"> risk sections of the regular risk reports</w:t>
            </w:r>
          </w:p>
          <w:p w14:paraId="5B17E452" w14:textId="27605F47" w:rsidR="00452613" w:rsidRPr="00D06B48" w:rsidRDefault="00452613" w:rsidP="00DD53B2">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O</w:t>
            </w:r>
            <w:r w:rsidR="00F14877">
              <w:rPr>
                <w:rFonts w:ascii="Arial" w:hAnsi="Arial" w:cs="Arial"/>
                <w:sz w:val="20"/>
                <w:szCs w:val="20"/>
              </w:rPr>
              <w:t xml:space="preserve">verseeing the effective operation of the </w:t>
            </w:r>
            <w:proofErr w:type="spellStart"/>
            <w:r w:rsidR="00F14877">
              <w:rPr>
                <w:rFonts w:ascii="Arial" w:hAnsi="Arial" w:cs="Arial"/>
                <w:sz w:val="20"/>
                <w:szCs w:val="20"/>
              </w:rPr>
              <w:t>Symbiant</w:t>
            </w:r>
            <w:proofErr w:type="spellEnd"/>
            <w:r w:rsidR="00F14877">
              <w:rPr>
                <w:rFonts w:ascii="Arial" w:hAnsi="Arial" w:cs="Arial"/>
                <w:sz w:val="20"/>
                <w:szCs w:val="20"/>
              </w:rPr>
              <w:t xml:space="preserve"> risk management system</w:t>
            </w:r>
          </w:p>
          <w:p w14:paraId="40C36C50" w14:textId="40D0EC60" w:rsidR="00DD53B2" w:rsidRPr="00B75089" w:rsidRDefault="00DD53B2" w:rsidP="00DD53B2">
            <w:pPr>
              <w:pStyle w:val="ListParagraph"/>
              <w:spacing w:before="0" w:beforeAutospacing="0" w:after="0" w:afterAutospacing="0"/>
              <w:ind w:left="360"/>
              <w:rPr>
                <w:rFonts w:ascii="Arial" w:hAnsi="Arial" w:cs="Arial"/>
                <w:sz w:val="20"/>
                <w:szCs w:val="20"/>
              </w:rPr>
            </w:pPr>
          </w:p>
        </w:tc>
        <w:tc>
          <w:tcPr>
            <w:tcW w:w="4141" w:type="dxa"/>
          </w:tcPr>
          <w:p w14:paraId="00E1228D" w14:textId="77777777" w:rsidR="00DD53B2" w:rsidRDefault="00DD53B2" w:rsidP="00DD53B2">
            <w:pPr>
              <w:pStyle w:val="ListParagraph"/>
              <w:ind w:left="360"/>
              <w:rPr>
                <w:rFonts w:ascii="Arial" w:hAnsi="Arial" w:cs="Arial"/>
                <w:sz w:val="20"/>
                <w:szCs w:val="20"/>
              </w:rPr>
            </w:pPr>
          </w:p>
          <w:p w14:paraId="57F730DF" w14:textId="77777777" w:rsidR="00DD53B2" w:rsidRDefault="00DD53B2" w:rsidP="00DD53B2">
            <w:pPr>
              <w:pStyle w:val="ListParagraph"/>
              <w:ind w:left="360"/>
              <w:rPr>
                <w:rFonts w:ascii="Arial" w:hAnsi="Arial" w:cs="Arial"/>
                <w:sz w:val="20"/>
                <w:szCs w:val="20"/>
              </w:rPr>
            </w:pPr>
          </w:p>
          <w:p w14:paraId="411AB6F3" w14:textId="2E01B646" w:rsidR="00DD53B2" w:rsidRDefault="004F5826" w:rsidP="00DD53B2">
            <w:pPr>
              <w:pStyle w:val="ListParagraph"/>
              <w:numPr>
                <w:ilvl w:val="0"/>
                <w:numId w:val="6"/>
              </w:numPr>
              <w:ind w:left="360"/>
              <w:rPr>
                <w:rFonts w:ascii="Arial" w:hAnsi="Arial" w:cs="Arial"/>
                <w:sz w:val="20"/>
                <w:szCs w:val="20"/>
              </w:rPr>
            </w:pPr>
            <w:r>
              <w:rPr>
                <w:rFonts w:ascii="Arial" w:hAnsi="Arial" w:cs="Arial"/>
                <w:sz w:val="20"/>
                <w:szCs w:val="20"/>
              </w:rPr>
              <w:t>Established governance process for maintenance</w:t>
            </w:r>
            <w:r w:rsidR="000F7C69">
              <w:rPr>
                <w:rFonts w:ascii="Arial" w:hAnsi="Arial" w:cs="Arial"/>
                <w:sz w:val="20"/>
                <w:szCs w:val="20"/>
              </w:rPr>
              <w:t xml:space="preserve"> and management of operational risk tolerances (RCSA)</w:t>
            </w:r>
          </w:p>
          <w:p w14:paraId="38E968B6" w14:textId="23676EB2" w:rsidR="00DD53B2" w:rsidRDefault="00DD53B2" w:rsidP="00DD53B2">
            <w:pPr>
              <w:pStyle w:val="ListParagraph"/>
              <w:numPr>
                <w:ilvl w:val="0"/>
                <w:numId w:val="6"/>
              </w:numPr>
              <w:ind w:left="360"/>
              <w:rPr>
                <w:rFonts w:ascii="Arial" w:hAnsi="Arial" w:cs="Arial"/>
                <w:sz w:val="20"/>
                <w:szCs w:val="20"/>
              </w:rPr>
            </w:pPr>
            <w:r>
              <w:rPr>
                <w:rFonts w:ascii="Arial" w:hAnsi="Arial" w:cs="Arial"/>
                <w:sz w:val="20"/>
                <w:szCs w:val="20"/>
              </w:rPr>
              <w:t xml:space="preserve">Established </w:t>
            </w:r>
            <w:r w:rsidR="004F5826">
              <w:rPr>
                <w:rFonts w:ascii="Arial" w:hAnsi="Arial" w:cs="Arial"/>
                <w:sz w:val="20"/>
                <w:szCs w:val="20"/>
              </w:rPr>
              <w:t>operational risk</w:t>
            </w:r>
            <w:r>
              <w:rPr>
                <w:rFonts w:ascii="Arial" w:hAnsi="Arial" w:cs="Arial"/>
                <w:sz w:val="20"/>
                <w:szCs w:val="20"/>
              </w:rPr>
              <w:t xml:space="preserve"> </w:t>
            </w:r>
            <w:proofErr w:type="gramStart"/>
            <w:r>
              <w:rPr>
                <w:rFonts w:ascii="Arial" w:hAnsi="Arial" w:cs="Arial"/>
                <w:sz w:val="20"/>
                <w:szCs w:val="20"/>
              </w:rPr>
              <w:t>KRIs</w:t>
            </w:r>
            <w:proofErr w:type="gramEnd"/>
          </w:p>
          <w:p w14:paraId="6D62DF30" w14:textId="77777777" w:rsidR="00DD53B2" w:rsidRDefault="00DD53B2" w:rsidP="00DD53B2">
            <w:pPr>
              <w:pStyle w:val="ListParagraph"/>
              <w:numPr>
                <w:ilvl w:val="0"/>
                <w:numId w:val="6"/>
              </w:numPr>
              <w:ind w:left="360"/>
              <w:rPr>
                <w:rFonts w:ascii="Arial" w:hAnsi="Arial" w:cs="Arial"/>
                <w:sz w:val="20"/>
                <w:szCs w:val="20"/>
              </w:rPr>
            </w:pPr>
            <w:r>
              <w:rPr>
                <w:rFonts w:ascii="Arial" w:hAnsi="Arial" w:cs="Arial"/>
                <w:sz w:val="20"/>
                <w:szCs w:val="20"/>
              </w:rPr>
              <w:t xml:space="preserve">All reporting delivered to time and </w:t>
            </w:r>
            <w:proofErr w:type="gramStart"/>
            <w:r>
              <w:rPr>
                <w:rFonts w:ascii="Arial" w:hAnsi="Arial" w:cs="Arial"/>
                <w:sz w:val="20"/>
                <w:szCs w:val="20"/>
              </w:rPr>
              <w:t>quality</w:t>
            </w:r>
            <w:proofErr w:type="gramEnd"/>
          </w:p>
          <w:p w14:paraId="051922D0" w14:textId="7D8C6E20" w:rsidR="00DD53B2" w:rsidRDefault="00DD53B2" w:rsidP="00DD53B2">
            <w:pPr>
              <w:pStyle w:val="ListParagraph"/>
              <w:numPr>
                <w:ilvl w:val="0"/>
                <w:numId w:val="6"/>
              </w:numPr>
              <w:ind w:left="360"/>
              <w:rPr>
                <w:rFonts w:ascii="Arial" w:hAnsi="Arial" w:cs="Arial"/>
                <w:sz w:val="20"/>
                <w:szCs w:val="20"/>
              </w:rPr>
            </w:pPr>
            <w:r>
              <w:rPr>
                <w:rFonts w:ascii="Arial" w:hAnsi="Arial" w:cs="Arial"/>
                <w:sz w:val="20"/>
                <w:szCs w:val="20"/>
              </w:rPr>
              <w:t xml:space="preserve">Challenged recording of controls related to </w:t>
            </w:r>
            <w:r w:rsidR="00CE5973">
              <w:rPr>
                <w:rFonts w:ascii="Arial" w:hAnsi="Arial" w:cs="Arial"/>
                <w:sz w:val="20"/>
                <w:szCs w:val="20"/>
              </w:rPr>
              <w:t>operational</w:t>
            </w:r>
            <w:r>
              <w:rPr>
                <w:rFonts w:ascii="Arial" w:hAnsi="Arial" w:cs="Arial"/>
                <w:sz w:val="20"/>
                <w:szCs w:val="20"/>
              </w:rPr>
              <w:t xml:space="preserve"> </w:t>
            </w:r>
            <w:proofErr w:type="gramStart"/>
            <w:r>
              <w:rPr>
                <w:rFonts w:ascii="Arial" w:hAnsi="Arial" w:cs="Arial"/>
                <w:sz w:val="20"/>
                <w:szCs w:val="20"/>
              </w:rPr>
              <w:t>risks</w:t>
            </w:r>
            <w:proofErr w:type="gramEnd"/>
          </w:p>
          <w:p w14:paraId="6CDB8DE5" w14:textId="231BC0AF" w:rsidR="000A292B" w:rsidRDefault="00E6006F" w:rsidP="00DD53B2">
            <w:pPr>
              <w:pStyle w:val="ListParagraph"/>
              <w:numPr>
                <w:ilvl w:val="0"/>
                <w:numId w:val="6"/>
              </w:numPr>
              <w:ind w:left="360"/>
              <w:rPr>
                <w:rFonts w:ascii="Arial" w:hAnsi="Arial" w:cs="Arial"/>
                <w:sz w:val="20"/>
                <w:szCs w:val="20"/>
              </w:rPr>
            </w:pPr>
            <w:r>
              <w:rPr>
                <w:rFonts w:ascii="Arial" w:hAnsi="Arial" w:cs="Arial"/>
                <w:sz w:val="20"/>
                <w:szCs w:val="20"/>
              </w:rPr>
              <w:t xml:space="preserve">Up to date risk policies and </w:t>
            </w:r>
            <w:r w:rsidR="007D1D63">
              <w:rPr>
                <w:rFonts w:ascii="Arial" w:hAnsi="Arial" w:cs="Arial"/>
                <w:sz w:val="20"/>
                <w:szCs w:val="20"/>
              </w:rPr>
              <w:t>incident management process</w:t>
            </w:r>
          </w:p>
          <w:p w14:paraId="3059281B" w14:textId="2B3F204A" w:rsidR="00DD53B2" w:rsidRPr="000B5CE5" w:rsidRDefault="00DD53B2" w:rsidP="00DD53B2">
            <w:pPr>
              <w:pStyle w:val="ListParagraph"/>
              <w:numPr>
                <w:ilvl w:val="0"/>
                <w:numId w:val="6"/>
              </w:numPr>
              <w:ind w:left="360"/>
              <w:rPr>
                <w:rFonts w:ascii="Arial" w:hAnsi="Arial" w:cs="Arial"/>
                <w:sz w:val="20"/>
                <w:szCs w:val="20"/>
              </w:rPr>
            </w:pPr>
            <w:r>
              <w:rPr>
                <w:rFonts w:ascii="Arial" w:eastAsia="Calibri" w:hAnsi="Arial" w:cs="Arial"/>
                <w:sz w:val="20"/>
                <w:szCs w:val="20"/>
              </w:rPr>
              <w:t xml:space="preserve">Risk opinions provided to the </w:t>
            </w:r>
            <w:r w:rsidR="000F7C69">
              <w:rPr>
                <w:rFonts w:ascii="Arial" w:eastAsia="Calibri" w:hAnsi="Arial" w:cs="Arial"/>
                <w:sz w:val="20"/>
                <w:szCs w:val="20"/>
              </w:rPr>
              <w:t>ORCC and ARC</w:t>
            </w:r>
          </w:p>
          <w:p w14:paraId="4E11439C" w14:textId="3109C4D0" w:rsidR="00DD53B2" w:rsidRPr="00B75089" w:rsidRDefault="00DD53B2" w:rsidP="00DD53B2">
            <w:pPr>
              <w:pStyle w:val="ListParagraph"/>
              <w:numPr>
                <w:ilvl w:val="0"/>
                <w:numId w:val="5"/>
              </w:numPr>
              <w:ind w:left="317" w:hanging="284"/>
              <w:rPr>
                <w:rFonts w:ascii="Arial" w:hAnsi="Arial" w:cs="Arial"/>
                <w:sz w:val="20"/>
                <w:szCs w:val="20"/>
              </w:rPr>
            </w:pPr>
            <w:r w:rsidRPr="00682B78">
              <w:rPr>
                <w:rFonts w:ascii="Arial" w:eastAsia="Calibri" w:hAnsi="Arial" w:cs="Arial"/>
                <w:sz w:val="20"/>
                <w:szCs w:val="20"/>
              </w:rPr>
              <w:t>Council</w:t>
            </w:r>
            <w:r>
              <w:rPr>
                <w:rFonts w:ascii="Arial" w:eastAsia="Calibri" w:hAnsi="Arial" w:cs="Arial"/>
                <w:sz w:val="20"/>
                <w:szCs w:val="20"/>
              </w:rPr>
              <w:t xml:space="preserve"> and Executive</w:t>
            </w:r>
            <w:r w:rsidRPr="00682B78">
              <w:rPr>
                <w:rFonts w:ascii="Arial" w:eastAsia="Calibri" w:hAnsi="Arial" w:cs="Arial"/>
                <w:sz w:val="20"/>
                <w:szCs w:val="20"/>
              </w:rPr>
              <w:t xml:space="preserve"> feedback</w:t>
            </w:r>
            <w:r>
              <w:rPr>
                <w:rFonts w:ascii="Arial" w:eastAsia="Calibri" w:hAnsi="Arial" w:cs="Arial"/>
                <w:sz w:val="20"/>
                <w:szCs w:val="20"/>
              </w:rPr>
              <w:t xml:space="preserve"> (</w:t>
            </w:r>
            <w:proofErr w:type="gramStart"/>
            <w:r>
              <w:rPr>
                <w:rFonts w:ascii="Arial" w:eastAsia="Calibri" w:hAnsi="Arial" w:cs="Arial"/>
                <w:sz w:val="20"/>
                <w:szCs w:val="20"/>
              </w:rPr>
              <w:t>in particular the</w:t>
            </w:r>
            <w:proofErr w:type="gramEnd"/>
            <w:r>
              <w:rPr>
                <w:rFonts w:ascii="Arial" w:eastAsia="Calibri" w:hAnsi="Arial" w:cs="Arial"/>
                <w:sz w:val="20"/>
                <w:szCs w:val="20"/>
              </w:rPr>
              <w:t xml:space="preserve"> Executive Director for </w:t>
            </w:r>
            <w:r w:rsidR="000F7C69">
              <w:rPr>
                <w:rFonts w:ascii="Arial" w:eastAsia="Calibri" w:hAnsi="Arial" w:cs="Arial"/>
                <w:sz w:val="20"/>
                <w:szCs w:val="20"/>
              </w:rPr>
              <w:t>BD&amp;E</w:t>
            </w:r>
            <w:r>
              <w:rPr>
                <w:rFonts w:ascii="Arial" w:eastAsia="Calibri" w:hAnsi="Arial" w:cs="Arial"/>
                <w:sz w:val="20"/>
                <w:szCs w:val="20"/>
              </w:rPr>
              <w:t>)</w:t>
            </w:r>
          </w:p>
        </w:tc>
      </w:tr>
    </w:tbl>
    <w:p w14:paraId="60FDE856"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7DBD72E8" w14:textId="77777777" w:rsidTr="00FF16B8">
        <w:trPr>
          <w:trHeight w:val="456"/>
        </w:trPr>
        <w:tc>
          <w:tcPr>
            <w:tcW w:w="10490" w:type="dxa"/>
            <w:shd w:val="clear" w:color="auto" w:fill="D9D9D9" w:themeFill="background1" w:themeFillShade="D9"/>
          </w:tcPr>
          <w:p w14:paraId="07C7098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9C460A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1F3E3DCC" w14:textId="77777777" w:rsidTr="00022C17">
        <w:trPr>
          <w:trHeight w:val="603"/>
        </w:trPr>
        <w:tc>
          <w:tcPr>
            <w:tcW w:w="10490" w:type="dxa"/>
          </w:tcPr>
          <w:p w14:paraId="67EE38F9" w14:textId="74F88759" w:rsidR="002D0FB8" w:rsidRPr="002D0FB8" w:rsidRDefault="00F02B96" w:rsidP="002D0FB8">
            <w:pPr>
              <w:pStyle w:val="ListParagraph"/>
              <w:numPr>
                <w:ilvl w:val="0"/>
                <w:numId w:val="5"/>
              </w:numPr>
              <w:rPr>
                <w:rFonts w:ascii="Arial" w:hAnsi="Arial" w:cs="Arial"/>
                <w:sz w:val="20"/>
                <w:szCs w:val="20"/>
              </w:rPr>
            </w:pPr>
            <w:r>
              <w:rPr>
                <w:rFonts w:ascii="Arial" w:hAnsi="Arial" w:cs="Arial"/>
                <w:sz w:val="20"/>
                <w:szCs w:val="20"/>
              </w:rPr>
              <w:t xml:space="preserve">Ensure the smooth running of the Operational Risk and Conduct Committee through </w:t>
            </w:r>
            <w:r w:rsidR="00B64B6F">
              <w:rPr>
                <w:rFonts w:ascii="Arial" w:hAnsi="Arial" w:cs="Arial"/>
                <w:sz w:val="20"/>
                <w:szCs w:val="20"/>
              </w:rPr>
              <w:t xml:space="preserve">preparation of draft agendas including rolling </w:t>
            </w:r>
            <w:proofErr w:type="gramStart"/>
            <w:r w:rsidR="00B64B6F">
              <w:rPr>
                <w:rFonts w:ascii="Arial" w:hAnsi="Arial" w:cs="Arial"/>
                <w:sz w:val="20"/>
                <w:szCs w:val="20"/>
              </w:rPr>
              <w:t>12 month</w:t>
            </w:r>
            <w:proofErr w:type="gramEnd"/>
            <w:r w:rsidR="00B64B6F">
              <w:rPr>
                <w:rFonts w:ascii="Arial" w:hAnsi="Arial" w:cs="Arial"/>
                <w:sz w:val="20"/>
                <w:szCs w:val="20"/>
              </w:rPr>
              <w:t xml:space="preserve"> forward agenda</w:t>
            </w:r>
            <w:r w:rsidR="007D1D63">
              <w:rPr>
                <w:rFonts w:ascii="Arial" w:hAnsi="Arial" w:cs="Arial"/>
                <w:sz w:val="20"/>
                <w:szCs w:val="20"/>
              </w:rPr>
              <w:t xml:space="preserve"> and running annual committee</w:t>
            </w:r>
            <w:r w:rsidR="00C54381">
              <w:rPr>
                <w:rFonts w:ascii="Arial" w:hAnsi="Arial" w:cs="Arial"/>
                <w:sz w:val="20"/>
                <w:szCs w:val="20"/>
              </w:rPr>
              <w:t xml:space="preserve"> effectiveness assessment</w:t>
            </w:r>
          </w:p>
          <w:p w14:paraId="53EA4E24" w14:textId="62309E02" w:rsidR="00165268" w:rsidRPr="002D0FB8" w:rsidRDefault="00165268" w:rsidP="002D0FB8">
            <w:pPr>
              <w:pStyle w:val="ListParagraph"/>
              <w:numPr>
                <w:ilvl w:val="0"/>
                <w:numId w:val="5"/>
              </w:numPr>
              <w:rPr>
                <w:rFonts w:ascii="Arial" w:hAnsi="Arial" w:cs="Arial"/>
                <w:sz w:val="20"/>
                <w:szCs w:val="20"/>
              </w:rPr>
            </w:pPr>
            <w:r w:rsidRPr="00A11E39">
              <w:rPr>
                <w:rFonts w:ascii="Arial" w:hAnsi="Arial" w:cs="Arial"/>
                <w:sz w:val="20"/>
                <w:szCs w:val="20"/>
              </w:rPr>
              <w:lastRenderedPageBreak/>
              <w:t>As the compliance and risk landscape continually changes, keep abreast of evolving legislation and best practice; identify and recommend opportunities for MPS to become more efficient and effective in risk management.</w:t>
            </w:r>
          </w:p>
          <w:p w14:paraId="313160CC" w14:textId="77777777" w:rsidR="00E94052" w:rsidRDefault="002D0FB8" w:rsidP="00E94052">
            <w:pPr>
              <w:pStyle w:val="ListParagraph"/>
              <w:numPr>
                <w:ilvl w:val="0"/>
                <w:numId w:val="5"/>
              </w:numPr>
              <w:rPr>
                <w:rFonts w:ascii="Arial" w:hAnsi="Arial" w:cs="Arial"/>
                <w:sz w:val="20"/>
                <w:szCs w:val="20"/>
              </w:rPr>
            </w:pPr>
            <w:r w:rsidRPr="002D0FB8">
              <w:rPr>
                <w:rFonts w:ascii="Arial" w:hAnsi="Arial" w:cs="Arial"/>
                <w:sz w:val="20"/>
                <w:szCs w:val="20"/>
              </w:rPr>
              <w:t xml:space="preserve">Continuously champion the compliance and risk management agenda across the Organisation. </w:t>
            </w:r>
          </w:p>
          <w:p w14:paraId="4E5B4A4D" w14:textId="77777777" w:rsidR="009E22D0" w:rsidRPr="002D0FB8" w:rsidRDefault="004D18E8" w:rsidP="00E94052">
            <w:pPr>
              <w:pStyle w:val="ListParagraph"/>
              <w:numPr>
                <w:ilvl w:val="0"/>
                <w:numId w:val="5"/>
              </w:numPr>
              <w:rPr>
                <w:rFonts w:ascii="Arial" w:hAnsi="Arial" w:cs="Arial"/>
                <w:sz w:val="20"/>
                <w:szCs w:val="20"/>
              </w:rPr>
            </w:pPr>
            <w:r w:rsidRPr="002D0FB8">
              <w:rPr>
                <w:rFonts w:ascii="Arial" w:hAnsi="Arial" w:cs="Arial"/>
                <w:sz w:val="20"/>
                <w:szCs w:val="20"/>
              </w:rPr>
              <w:t>Undertaking other duties and tasks that from time to time may be allocated to the role holder that are appropriate to the level or role.</w:t>
            </w:r>
          </w:p>
        </w:tc>
      </w:tr>
    </w:tbl>
    <w:p w14:paraId="31D57C13"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D07F908" w14:textId="77777777" w:rsidTr="000B4FA5">
        <w:trPr>
          <w:trHeight w:val="456"/>
        </w:trPr>
        <w:tc>
          <w:tcPr>
            <w:tcW w:w="10490" w:type="dxa"/>
            <w:shd w:val="clear" w:color="auto" w:fill="D9D9D9" w:themeFill="background1" w:themeFillShade="D9"/>
          </w:tcPr>
          <w:p w14:paraId="6605AAE2" w14:textId="77777777" w:rsidR="005542D1" w:rsidRPr="000563AB" w:rsidRDefault="005542D1" w:rsidP="00B75089">
            <w:pPr>
              <w:widowControl w:val="0"/>
              <w:autoSpaceDE w:val="0"/>
              <w:autoSpaceDN w:val="0"/>
              <w:adjustRightInd w:val="0"/>
              <w:spacing w:before="3" w:after="0" w:line="240" w:lineRule="auto"/>
              <w:rPr>
                <w:rFonts w:ascii="Arial" w:hAnsi="Arial" w:cs="Arial"/>
                <w:b/>
                <w:sz w:val="20"/>
                <w:szCs w:val="20"/>
              </w:rPr>
            </w:pPr>
          </w:p>
          <w:p w14:paraId="027992F9" w14:textId="77777777" w:rsidR="005542D1" w:rsidRPr="000563AB" w:rsidRDefault="005542D1" w:rsidP="00B75089">
            <w:pPr>
              <w:widowControl w:val="0"/>
              <w:autoSpaceDE w:val="0"/>
              <w:autoSpaceDN w:val="0"/>
              <w:adjustRightInd w:val="0"/>
              <w:spacing w:before="3" w:after="0" w:line="240" w:lineRule="auto"/>
              <w:rPr>
                <w:rFonts w:ascii="Arial" w:hAnsi="Arial" w:cs="Arial"/>
                <w:b/>
                <w:sz w:val="20"/>
                <w:szCs w:val="20"/>
              </w:rPr>
            </w:pPr>
            <w:r w:rsidRPr="000563AB">
              <w:rPr>
                <w:rFonts w:ascii="Arial" w:hAnsi="Arial" w:cs="Arial"/>
                <w:b/>
                <w:sz w:val="20"/>
                <w:szCs w:val="20"/>
              </w:rPr>
              <w:t>Key Governance Responsibilities</w:t>
            </w:r>
          </w:p>
        </w:tc>
      </w:tr>
      <w:tr w:rsidR="005542D1" w:rsidRPr="00B75089" w14:paraId="2A58E1D5" w14:textId="77777777" w:rsidTr="000B4FA5">
        <w:trPr>
          <w:trHeight w:val="693"/>
        </w:trPr>
        <w:tc>
          <w:tcPr>
            <w:tcW w:w="10490" w:type="dxa"/>
          </w:tcPr>
          <w:p w14:paraId="561C739B" w14:textId="77777777" w:rsidR="00783DBC" w:rsidRDefault="00566753" w:rsidP="00890A37">
            <w:pPr>
              <w:pStyle w:val="ListParagraph"/>
              <w:numPr>
                <w:ilvl w:val="0"/>
                <w:numId w:val="12"/>
              </w:numPr>
              <w:spacing w:before="0" w:after="0"/>
              <w:rPr>
                <w:rFonts w:ascii="Arial" w:hAnsi="Arial" w:cs="Arial"/>
                <w:sz w:val="20"/>
                <w:szCs w:val="20"/>
              </w:rPr>
            </w:pPr>
            <w:r>
              <w:rPr>
                <w:rFonts w:ascii="Arial" w:hAnsi="Arial" w:cs="Arial"/>
                <w:sz w:val="20"/>
                <w:szCs w:val="20"/>
              </w:rPr>
              <w:t>ORCC attendee</w:t>
            </w:r>
          </w:p>
          <w:p w14:paraId="1C8BF3BA" w14:textId="77777777" w:rsidR="00890A37" w:rsidRDefault="00890A37" w:rsidP="00890A37">
            <w:pPr>
              <w:pStyle w:val="ListParagraph"/>
              <w:numPr>
                <w:ilvl w:val="0"/>
                <w:numId w:val="12"/>
              </w:numPr>
              <w:spacing w:before="0" w:beforeAutospacing="0" w:after="0" w:afterAutospacing="0"/>
              <w:rPr>
                <w:rFonts w:ascii="Arial" w:hAnsi="Arial" w:cs="Arial"/>
                <w:sz w:val="20"/>
                <w:szCs w:val="20"/>
              </w:rPr>
            </w:pPr>
            <w:r>
              <w:rPr>
                <w:rFonts w:ascii="Arial" w:hAnsi="Arial" w:cs="Arial"/>
                <w:sz w:val="20"/>
                <w:szCs w:val="20"/>
              </w:rPr>
              <w:t xml:space="preserve">Delivery of reporting to Executive (level 2) and/or Council (level 1) committees as and when </w:t>
            </w:r>
            <w:proofErr w:type="gramStart"/>
            <w:r>
              <w:rPr>
                <w:rFonts w:ascii="Arial" w:hAnsi="Arial" w:cs="Arial"/>
                <w:sz w:val="20"/>
                <w:szCs w:val="20"/>
              </w:rPr>
              <w:t>required</w:t>
            </w:r>
            <w:proofErr w:type="gramEnd"/>
            <w:r>
              <w:rPr>
                <w:rFonts w:ascii="Arial" w:hAnsi="Arial" w:cs="Arial"/>
                <w:sz w:val="20"/>
                <w:szCs w:val="20"/>
              </w:rPr>
              <w:t xml:space="preserve"> </w:t>
            </w:r>
          </w:p>
          <w:p w14:paraId="4011E80F" w14:textId="77777777" w:rsidR="00890A37" w:rsidRDefault="00890A37" w:rsidP="00890A37">
            <w:pPr>
              <w:pStyle w:val="ListParagraph"/>
              <w:numPr>
                <w:ilvl w:val="0"/>
                <w:numId w:val="12"/>
              </w:numPr>
              <w:spacing w:before="0" w:beforeAutospacing="0" w:after="0" w:afterAutospacing="0"/>
              <w:rPr>
                <w:rFonts w:ascii="Arial" w:hAnsi="Arial" w:cs="Arial"/>
                <w:sz w:val="20"/>
                <w:szCs w:val="20"/>
              </w:rPr>
            </w:pPr>
            <w:r>
              <w:rPr>
                <w:rFonts w:ascii="Arial" w:hAnsi="Arial" w:cs="Arial"/>
                <w:sz w:val="20"/>
                <w:szCs w:val="20"/>
              </w:rPr>
              <w:t xml:space="preserve">Attendance at committees as and when </w:t>
            </w:r>
            <w:proofErr w:type="gramStart"/>
            <w:r>
              <w:rPr>
                <w:rFonts w:ascii="Arial" w:hAnsi="Arial" w:cs="Arial"/>
                <w:sz w:val="20"/>
                <w:szCs w:val="20"/>
              </w:rPr>
              <w:t>required</w:t>
            </w:r>
            <w:proofErr w:type="gramEnd"/>
            <w:r>
              <w:rPr>
                <w:rFonts w:ascii="Arial" w:hAnsi="Arial" w:cs="Arial"/>
                <w:sz w:val="20"/>
                <w:szCs w:val="20"/>
              </w:rPr>
              <w:t xml:space="preserve"> </w:t>
            </w:r>
          </w:p>
          <w:p w14:paraId="3C2674BA" w14:textId="63A4DED5" w:rsidR="00890A37" w:rsidRPr="00566753" w:rsidRDefault="00890A37" w:rsidP="00890A37">
            <w:pPr>
              <w:pStyle w:val="ListParagraph"/>
              <w:spacing w:before="0" w:after="0"/>
              <w:rPr>
                <w:rFonts w:ascii="Arial" w:hAnsi="Arial" w:cs="Arial"/>
                <w:sz w:val="20"/>
                <w:szCs w:val="20"/>
              </w:rPr>
            </w:pPr>
          </w:p>
        </w:tc>
      </w:tr>
    </w:tbl>
    <w:p w14:paraId="2EDC6F30" w14:textId="77777777" w:rsidR="00E94052" w:rsidRPr="00B75089" w:rsidRDefault="00E9405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3BB409E" w14:textId="77777777" w:rsidTr="00FF16B8">
        <w:trPr>
          <w:trHeight w:val="310"/>
        </w:trPr>
        <w:tc>
          <w:tcPr>
            <w:tcW w:w="6008" w:type="dxa"/>
            <w:shd w:val="clear" w:color="auto" w:fill="D9D9D9" w:themeFill="background1" w:themeFillShade="D9"/>
          </w:tcPr>
          <w:p w14:paraId="59A250D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305129D"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4A7F33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A2976B1" w14:textId="77777777" w:rsidR="0056188D" w:rsidRPr="00B75089" w:rsidRDefault="00C91CFA" w:rsidP="00E94052">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5E3E8FE" w14:textId="77777777" w:rsidTr="00FF16B8">
        <w:trPr>
          <w:trHeight w:val="211"/>
        </w:trPr>
        <w:tc>
          <w:tcPr>
            <w:tcW w:w="6008" w:type="dxa"/>
          </w:tcPr>
          <w:p w14:paraId="11AA987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8A89188" w14:textId="77777777" w:rsidR="0056188D" w:rsidRPr="00B75089" w:rsidRDefault="007206F0" w:rsidP="00B75089">
            <w:pPr>
              <w:spacing w:after="0" w:line="240" w:lineRule="auto"/>
              <w:rPr>
                <w:rFonts w:ascii="Arial" w:hAnsi="Arial" w:cs="Arial"/>
                <w:sz w:val="20"/>
                <w:szCs w:val="20"/>
              </w:rPr>
            </w:pPr>
            <w:r>
              <w:rPr>
                <w:rFonts w:ascii="Arial" w:hAnsi="Arial" w:cs="Arial"/>
                <w:sz w:val="20"/>
                <w:szCs w:val="20"/>
              </w:rPr>
              <w:t>Leading Organisation</w:t>
            </w:r>
          </w:p>
        </w:tc>
      </w:tr>
      <w:tr w:rsidR="00B76617" w:rsidRPr="00B76617" w14:paraId="11FA1EDD" w14:textId="77777777" w:rsidTr="00FF16B8">
        <w:trPr>
          <w:trHeight w:val="211"/>
        </w:trPr>
        <w:tc>
          <w:tcPr>
            <w:tcW w:w="6008" w:type="dxa"/>
          </w:tcPr>
          <w:p w14:paraId="236E4944"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58FD8C3E" w14:textId="4EF43BAE" w:rsidR="00B76617" w:rsidRPr="00B76617" w:rsidRDefault="007206F0" w:rsidP="00B76617">
            <w:pPr>
              <w:spacing w:after="0" w:line="240" w:lineRule="auto"/>
              <w:rPr>
                <w:rFonts w:ascii="Arial" w:hAnsi="Arial" w:cs="Arial"/>
                <w:sz w:val="20"/>
                <w:szCs w:val="20"/>
              </w:rPr>
            </w:pPr>
            <w:r>
              <w:rPr>
                <w:rFonts w:ascii="Arial" w:hAnsi="Arial" w:cs="Arial"/>
                <w:sz w:val="20"/>
                <w:szCs w:val="20"/>
              </w:rPr>
              <w:t>Leading O</w:t>
            </w:r>
            <w:r w:rsidR="00B258F3">
              <w:rPr>
                <w:rFonts w:ascii="Arial" w:hAnsi="Arial" w:cs="Arial"/>
                <w:sz w:val="20"/>
                <w:szCs w:val="20"/>
              </w:rPr>
              <w:t>rganisation</w:t>
            </w:r>
          </w:p>
        </w:tc>
      </w:tr>
      <w:tr w:rsidR="00B76617" w:rsidRPr="00B76617" w14:paraId="675267F1" w14:textId="77777777" w:rsidTr="00B76617">
        <w:trPr>
          <w:trHeight w:val="187"/>
        </w:trPr>
        <w:tc>
          <w:tcPr>
            <w:tcW w:w="6008" w:type="dxa"/>
          </w:tcPr>
          <w:p w14:paraId="437EACD2"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DB8D864" w14:textId="3326E6A6" w:rsidR="00B76617" w:rsidRPr="00B76617" w:rsidRDefault="007206F0" w:rsidP="00B76617">
            <w:pPr>
              <w:spacing w:after="0" w:line="240" w:lineRule="auto"/>
              <w:rPr>
                <w:rFonts w:ascii="Arial" w:hAnsi="Arial" w:cs="Arial"/>
                <w:sz w:val="20"/>
                <w:szCs w:val="20"/>
              </w:rPr>
            </w:pPr>
            <w:r>
              <w:rPr>
                <w:rFonts w:ascii="Arial" w:hAnsi="Arial" w:cs="Arial"/>
                <w:sz w:val="20"/>
                <w:szCs w:val="20"/>
              </w:rPr>
              <w:t xml:space="preserve">Leading </w:t>
            </w:r>
            <w:r w:rsidR="00022C17">
              <w:rPr>
                <w:rFonts w:ascii="Arial" w:hAnsi="Arial" w:cs="Arial"/>
                <w:sz w:val="20"/>
                <w:szCs w:val="20"/>
              </w:rPr>
              <w:t>Others</w:t>
            </w:r>
          </w:p>
        </w:tc>
      </w:tr>
      <w:tr w:rsidR="00B76617" w:rsidRPr="00B76617" w14:paraId="761D8A14" w14:textId="77777777" w:rsidTr="00FF16B8">
        <w:trPr>
          <w:trHeight w:val="211"/>
        </w:trPr>
        <w:tc>
          <w:tcPr>
            <w:tcW w:w="6008" w:type="dxa"/>
          </w:tcPr>
          <w:p w14:paraId="5F6A6CE1"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10DFD5E6" w14:textId="0582368F" w:rsidR="00B76617" w:rsidRPr="00B76617" w:rsidRDefault="007206F0" w:rsidP="00B76617">
            <w:pPr>
              <w:spacing w:after="0" w:line="240" w:lineRule="auto"/>
              <w:rPr>
                <w:rFonts w:ascii="Arial" w:hAnsi="Arial" w:cs="Arial"/>
                <w:sz w:val="20"/>
                <w:szCs w:val="20"/>
              </w:rPr>
            </w:pPr>
            <w:r>
              <w:rPr>
                <w:rFonts w:ascii="Arial" w:hAnsi="Arial" w:cs="Arial"/>
                <w:sz w:val="20"/>
                <w:szCs w:val="20"/>
              </w:rPr>
              <w:t>Leading O</w:t>
            </w:r>
            <w:r w:rsidR="00EB63E6">
              <w:rPr>
                <w:rFonts w:ascii="Arial" w:hAnsi="Arial" w:cs="Arial"/>
                <w:sz w:val="20"/>
                <w:szCs w:val="20"/>
              </w:rPr>
              <w:t>thers</w:t>
            </w:r>
          </w:p>
        </w:tc>
      </w:tr>
      <w:tr w:rsidR="00B76617" w:rsidRPr="00B76617" w14:paraId="2EFF127C" w14:textId="77777777" w:rsidTr="00FF16B8">
        <w:trPr>
          <w:trHeight w:val="211"/>
        </w:trPr>
        <w:tc>
          <w:tcPr>
            <w:tcW w:w="6008" w:type="dxa"/>
          </w:tcPr>
          <w:p w14:paraId="664723F0"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23AA5FF" w14:textId="39500125" w:rsidR="00B76617" w:rsidRPr="00B76617" w:rsidRDefault="007206F0" w:rsidP="00B76617">
            <w:pPr>
              <w:spacing w:after="0" w:line="240" w:lineRule="auto"/>
              <w:rPr>
                <w:rFonts w:ascii="Arial" w:hAnsi="Arial" w:cs="Arial"/>
                <w:sz w:val="20"/>
                <w:szCs w:val="20"/>
              </w:rPr>
            </w:pPr>
            <w:r>
              <w:rPr>
                <w:rFonts w:ascii="Arial" w:hAnsi="Arial" w:cs="Arial"/>
                <w:sz w:val="20"/>
                <w:szCs w:val="20"/>
              </w:rPr>
              <w:t xml:space="preserve">Leading </w:t>
            </w:r>
            <w:r w:rsidR="00165268">
              <w:rPr>
                <w:rFonts w:ascii="Arial" w:hAnsi="Arial" w:cs="Arial"/>
                <w:sz w:val="20"/>
                <w:szCs w:val="20"/>
              </w:rPr>
              <w:t>O</w:t>
            </w:r>
            <w:r w:rsidR="00B91D54">
              <w:rPr>
                <w:rFonts w:ascii="Arial" w:hAnsi="Arial" w:cs="Arial"/>
                <w:sz w:val="20"/>
                <w:szCs w:val="20"/>
              </w:rPr>
              <w:t>thers</w:t>
            </w:r>
          </w:p>
        </w:tc>
      </w:tr>
      <w:tr w:rsidR="00B76617" w:rsidRPr="00B76617" w14:paraId="5688B103" w14:textId="77777777" w:rsidTr="007206F0">
        <w:trPr>
          <w:trHeight w:val="70"/>
        </w:trPr>
        <w:tc>
          <w:tcPr>
            <w:tcW w:w="6008" w:type="dxa"/>
          </w:tcPr>
          <w:p w14:paraId="0A74F9A4"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499ACD8" w14:textId="77777777" w:rsidR="00B76617" w:rsidRPr="00B76617" w:rsidRDefault="007206F0" w:rsidP="00B76617">
            <w:pPr>
              <w:spacing w:after="0" w:line="240" w:lineRule="auto"/>
              <w:rPr>
                <w:rFonts w:ascii="Arial" w:hAnsi="Arial" w:cs="Arial"/>
                <w:sz w:val="20"/>
                <w:szCs w:val="20"/>
              </w:rPr>
            </w:pPr>
            <w:r>
              <w:rPr>
                <w:rFonts w:ascii="Arial" w:hAnsi="Arial" w:cs="Arial"/>
                <w:sz w:val="20"/>
                <w:szCs w:val="20"/>
              </w:rPr>
              <w:t>Leading Organisation</w:t>
            </w:r>
          </w:p>
        </w:tc>
      </w:tr>
    </w:tbl>
    <w:p w14:paraId="1259CA18" w14:textId="649760BF" w:rsidR="006E1FE3" w:rsidRDefault="006E1FE3"/>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192"/>
        <w:gridCol w:w="3544"/>
        <w:gridCol w:w="3260"/>
      </w:tblGrid>
      <w:tr w:rsidR="00FF16B8" w:rsidRPr="00B75089" w14:paraId="09736643" w14:textId="77777777" w:rsidTr="00E94052">
        <w:trPr>
          <w:trHeight w:val="222"/>
        </w:trPr>
        <w:tc>
          <w:tcPr>
            <w:tcW w:w="460" w:type="dxa"/>
            <w:shd w:val="clear" w:color="auto" w:fill="D9D9D9" w:themeFill="background1" w:themeFillShade="D9"/>
          </w:tcPr>
          <w:p w14:paraId="54FB920F" w14:textId="570FC086"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192" w:type="dxa"/>
            <w:shd w:val="clear" w:color="auto" w:fill="D9D9D9" w:themeFill="background1" w:themeFillShade="D9"/>
          </w:tcPr>
          <w:p w14:paraId="521F3EB6"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13B5B03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260" w:type="dxa"/>
            <w:shd w:val="clear" w:color="auto" w:fill="D9D9D9" w:themeFill="background1" w:themeFillShade="D9"/>
          </w:tcPr>
          <w:p w14:paraId="3C3647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895EE3B" w14:textId="77777777" w:rsidTr="00E94052">
        <w:trPr>
          <w:cantSplit/>
          <w:trHeight w:val="2063"/>
        </w:trPr>
        <w:tc>
          <w:tcPr>
            <w:tcW w:w="460" w:type="dxa"/>
            <w:shd w:val="clear" w:color="auto" w:fill="D9D9D9" w:themeFill="background1" w:themeFillShade="D9"/>
            <w:textDirection w:val="btLr"/>
          </w:tcPr>
          <w:p w14:paraId="2B26CD2A"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192" w:type="dxa"/>
          </w:tcPr>
          <w:p w14:paraId="42A65301" w14:textId="4BB7E269" w:rsidR="00E40AC5" w:rsidRPr="00E94052" w:rsidRDefault="00022C17"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knowledge of risk management principles and methodologies</w:t>
            </w:r>
          </w:p>
        </w:tc>
        <w:tc>
          <w:tcPr>
            <w:tcW w:w="3544" w:type="dxa"/>
          </w:tcPr>
          <w:p w14:paraId="68F0EFF7" w14:textId="71A8D468" w:rsidR="002D0FB8" w:rsidRPr="00E94052" w:rsidRDefault="002D0FB8" w:rsidP="002D0FB8">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 xml:space="preserve">Ability to work </w:t>
            </w:r>
            <w:r w:rsidR="00B57027">
              <w:rPr>
                <w:rFonts w:ascii="Arial" w:eastAsia="Calibri" w:hAnsi="Arial" w:cs="Arial"/>
                <w:sz w:val="20"/>
                <w:szCs w:val="20"/>
              </w:rPr>
              <w:t>with stakeholders</w:t>
            </w:r>
            <w:r w:rsidRPr="00E94052">
              <w:rPr>
                <w:rFonts w:ascii="Arial" w:eastAsia="Calibri" w:hAnsi="Arial" w:cs="Arial"/>
                <w:sz w:val="20"/>
                <w:szCs w:val="20"/>
              </w:rPr>
              <w:t xml:space="preserve"> at all levels to constructively input and challenge where appropriate</w:t>
            </w:r>
            <w:r w:rsidR="00BF41FC">
              <w:rPr>
                <w:rFonts w:ascii="Arial" w:eastAsia="Calibri" w:hAnsi="Arial" w:cs="Arial"/>
                <w:sz w:val="20"/>
                <w:szCs w:val="20"/>
              </w:rPr>
              <w:t>, demonstrating real impact and influence</w:t>
            </w:r>
            <w:r w:rsidRPr="00E94052">
              <w:rPr>
                <w:rFonts w:ascii="Arial" w:eastAsia="Calibri" w:hAnsi="Arial" w:cs="Arial"/>
                <w:sz w:val="20"/>
                <w:szCs w:val="20"/>
              </w:rPr>
              <w:t>.</w:t>
            </w:r>
          </w:p>
          <w:p w14:paraId="7E32D5CF" w14:textId="014A22D2" w:rsidR="00E40AC5" w:rsidRPr="00E94052" w:rsidRDefault="002D0FB8" w:rsidP="002D0FB8">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 xml:space="preserve">Ability to find solutions that will work with </w:t>
            </w:r>
            <w:r w:rsidR="003A690E">
              <w:rPr>
                <w:rFonts w:ascii="Arial" w:eastAsia="Calibri" w:hAnsi="Arial" w:cs="Arial"/>
                <w:sz w:val="20"/>
                <w:szCs w:val="20"/>
              </w:rPr>
              <w:t>b</w:t>
            </w:r>
            <w:r w:rsidRPr="00E94052">
              <w:rPr>
                <w:rFonts w:ascii="Arial" w:eastAsia="Calibri" w:hAnsi="Arial" w:cs="Arial"/>
                <w:sz w:val="20"/>
                <w:szCs w:val="20"/>
              </w:rPr>
              <w:t>usiness stakeholders.</w:t>
            </w:r>
          </w:p>
          <w:p w14:paraId="7F1E01A7" w14:textId="513DEAFC" w:rsidR="002D0FB8" w:rsidRDefault="002D0FB8" w:rsidP="002D0FB8">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Demonstrate thought leadership in</w:t>
            </w:r>
            <w:r w:rsidR="00734786">
              <w:rPr>
                <w:rFonts w:ascii="Arial" w:eastAsia="Calibri" w:hAnsi="Arial" w:cs="Arial"/>
                <w:sz w:val="20"/>
                <w:szCs w:val="20"/>
              </w:rPr>
              <w:t xml:space="preserve"> risk</w:t>
            </w:r>
            <w:r w:rsidRPr="00E94052">
              <w:rPr>
                <w:rFonts w:ascii="Arial" w:eastAsia="Calibri" w:hAnsi="Arial" w:cs="Arial"/>
                <w:sz w:val="20"/>
                <w:szCs w:val="20"/>
              </w:rPr>
              <w:t>.</w:t>
            </w:r>
          </w:p>
          <w:p w14:paraId="6E15AD86" w14:textId="7DD86656" w:rsidR="00783DBC" w:rsidRDefault="00783DBC"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Ability to take a forward-looking perspective.</w:t>
            </w:r>
          </w:p>
          <w:p w14:paraId="2CE507E4" w14:textId="77777777" w:rsidR="00783DBC" w:rsidRDefault="00783DBC"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Able to understand and translate complex information from across the </w:t>
            </w:r>
            <w:proofErr w:type="gramStart"/>
            <w:r>
              <w:rPr>
                <w:rFonts w:ascii="Arial" w:eastAsia="Calibri" w:hAnsi="Arial" w:cs="Arial"/>
                <w:sz w:val="20"/>
                <w:szCs w:val="20"/>
              </w:rPr>
              <w:t>organisation</w:t>
            </w:r>
            <w:proofErr w:type="gramEnd"/>
          </w:p>
          <w:p w14:paraId="7F41596F" w14:textId="60112566" w:rsidR="00BF41FC" w:rsidRPr="00BF41FC" w:rsidRDefault="00BF41FC" w:rsidP="00BF41FC">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Experience in policy writing and framework development</w:t>
            </w:r>
          </w:p>
        </w:tc>
        <w:tc>
          <w:tcPr>
            <w:tcW w:w="3260" w:type="dxa"/>
          </w:tcPr>
          <w:p w14:paraId="3BF78D3E" w14:textId="6F73BF33" w:rsidR="00783DBC" w:rsidRDefault="00783DBC" w:rsidP="00B57027">
            <w:pPr>
              <w:pStyle w:val="ListParagraph"/>
              <w:numPr>
                <w:ilvl w:val="0"/>
                <w:numId w:val="5"/>
              </w:numPr>
              <w:rPr>
                <w:rFonts w:ascii="Arial" w:eastAsia="Calibri" w:hAnsi="Arial" w:cs="Arial"/>
                <w:sz w:val="20"/>
                <w:szCs w:val="20"/>
              </w:rPr>
            </w:pPr>
            <w:r>
              <w:rPr>
                <w:rFonts w:ascii="Arial" w:eastAsia="Calibri" w:hAnsi="Arial" w:cs="Arial"/>
                <w:sz w:val="20"/>
                <w:szCs w:val="20"/>
              </w:rPr>
              <w:t xml:space="preserve">Experience as a leader, driving change and </w:t>
            </w:r>
            <w:proofErr w:type="gramStart"/>
            <w:r>
              <w:rPr>
                <w:rFonts w:ascii="Arial" w:eastAsia="Calibri" w:hAnsi="Arial" w:cs="Arial"/>
                <w:sz w:val="20"/>
                <w:szCs w:val="20"/>
              </w:rPr>
              <w:t>improvement</w:t>
            </w:r>
            <w:proofErr w:type="gramEnd"/>
          </w:p>
          <w:p w14:paraId="0911059E" w14:textId="5385C83C" w:rsidR="002D0FB8" w:rsidRPr="00E94052" w:rsidRDefault="003A690E" w:rsidP="00B57027">
            <w:pPr>
              <w:pStyle w:val="ListParagraph"/>
              <w:numPr>
                <w:ilvl w:val="0"/>
                <w:numId w:val="5"/>
              </w:numPr>
              <w:rPr>
                <w:rFonts w:ascii="Arial" w:eastAsia="Calibri" w:hAnsi="Arial" w:cs="Arial"/>
                <w:sz w:val="20"/>
                <w:szCs w:val="20"/>
              </w:rPr>
            </w:pPr>
            <w:r>
              <w:rPr>
                <w:rFonts w:ascii="Arial" w:eastAsia="Calibri" w:hAnsi="Arial" w:cs="Arial"/>
                <w:sz w:val="20"/>
                <w:szCs w:val="20"/>
              </w:rPr>
              <w:t xml:space="preserve">Senior </w:t>
            </w:r>
            <w:r w:rsidR="00B76617">
              <w:rPr>
                <w:rFonts w:ascii="Arial" w:eastAsia="Calibri" w:hAnsi="Arial" w:cs="Arial"/>
                <w:sz w:val="20"/>
                <w:szCs w:val="20"/>
              </w:rPr>
              <w:t>Risk and Compliance</w:t>
            </w:r>
            <w:r w:rsidR="002D0FB8" w:rsidRPr="00E94052">
              <w:rPr>
                <w:rFonts w:ascii="Arial" w:eastAsia="Calibri" w:hAnsi="Arial" w:cs="Arial"/>
                <w:sz w:val="20"/>
                <w:szCs w:val="20"/>
              </w:rPr>
              <w:t xml:space="preserve"> experience within the regulated insurance industry </w:t>
            </w:r>
          </w:p>
          <w:p w14:paraId="7779D965" w14:textId="77777777" w:rsidR="002D0FB8" w:rsidRPr="00755B22" w:rsidRDefault="002D0FB8" w:rsidP="001112A8">
            <w:pPr>
              <w:pStyle w:val="ListParagraph"/>
              <w:spacing w:after="0"/>
              <w:ind w:left="360"/>
              <w:rPr>
                <w:rFonts w:ascii="Arial" w:hAnsi="Arial" w:cs="Arial"/>
                <w:sz w:val="20"/>
                <w:szCs w:val="20"/>
              </w:rPr>
            </w:pPr>
          </w:p>
        </w:tc>
      </w:tr>
      <w:tr w:rsidR="00FF16B8" w:rsidRPr="00B75089" w14:paraId="769E97D0" w14:textId="77777777" w:rsidTr="00E94052">
        <w:trPr>
          <w:cantSplit/>
          <w:trHeight w:val="1691"/>
        </w:trPr>
        <w:tc>
          <w:tcPr>
            <w:tcW w:w="460" w:type="dxa"/>
            <w:shd w:val="clear" w:color="auto" w:fill="D9D9D9" w:themeFill="background1" w:themeFillShade="D9"/>
            <w:textDirection w:val="btLr"/>
          </w:tcPr>
          <w:p w14:paraId="4AE10EB2"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192" w:type="dxa"/>
          </w:tcPr>
          <w:p w14:paraId="5563875C" w14:textId="77777777" w:rsidR="00E40AC5" w:rsidRPr="00022C17" w:rsidRDefault="00165268" w:rsidP="00022C17">
            <w:pPr>
              <w:pStyle w:val="ListParagraph"/>
              <w:numPr>
                <w:ilvl w:val="0"/>
                <w:numId w:val="5"/>
              </w:numPr>
              <w:spacing w:after="0"/>
              <w:rPr>
                <w:rFonts w:ascii="Arial" w:eastAsia="Calibri" w:hAnsi="Arial" w:cs="Arial"/>
                <w:sz w:val="20"/>
                <w:szCs w:val="20"/>
              </w:rPr>
            </w:pPr>
            <w:r w:rsidRPr="00022C17">
              <w:rPr>
                <w:rFonts w:ascii="Arial" w:eastAsia="Calibri" w:hAnsi="Arial" w:cs="Arial"/>
                <w:sz w:val="20"/>
                <w:szCs w:val="20"/>
              </w:rPr>
              <w:t>Qualification in compliance or risk management or associated qualification would be beneficial.</w:t>
            </w:r>
          </w:p>
          <w:p w14:paraId="36FDA485" w14:textId="795BC5C4" w:rsidR="00165268" w:rsidRPr="00022C17" w:rsidRDefault="00165268" w:rsidP="00C932B1">
            <w:pPr>
              <w:pStyle w:val="ListParagraph"/>
              <w:spacing w:after="0"/>
              <w:ind w:left="360"/>
              <w:rPr>
                <w:rFonts w:ascii="Arial" w:eastAsia="Calibri" w:hAnsi="Arial" w:cs="Arial"/>
                <w:b/>
                <w:sz w:val="20"/>
                <w:szCs w:val="20"/>
              </w:rPr>
            </w:pPr>
          </w:p>
        </w:tc>
        <w:tc>
          <w:tcPr>
            <w:tcW w:w="3544" w:type="dxa"/>
          </w:tcPr>
          <w:p w14:paraId="3B9D64B3" w14:textId="31B63E54" w:rsidR="00BE0D65" w:rsidRPr="00DF57BF" w:rsidRDefault="00417AF5" w:rsidP="00DF57BF">
            <w:pPr>
              <w:pStyle w:val="ListParagraph"/>
              <w:numPr>
                <w:ilvl w:val="0"/>
                <w:numId w:val="5"/>
              </w:numPr>
              <w:spacing w:after="0"/>
              <w:jc w:val="both"/>
              <w:rPr>
                <w:rFonts w:ascii="Arial" w:eastAsia="Calibri" w:hAnsi="Arial" w:cs="Arial"/>
                <w:b/>
                <w:sz w:val="20"/>
                <w:szCs w:val="20"/>
              </w:rPr>
            </w:pPr>
            <w:r>
              <w:rPr>
                <w:rFonts w:ascii="Arial" w:eastAsia="Calibri" w:hAnsi="Arial" w:cs="Arial"/>
                <w:sz w:val="20"/>
                <w:szCs w:val="20"/>
              </w:rPr>
              <w:t>Deep</w:t>
            </w:r>
            <w:r w:rsidR="00BE0D65">
              <w:rPr>
                <w:rFonts w:ascii="Arial" w:eastAsia="Calibri" w:hAnsi="Arial" w:cs="Arial"/>
                <w:sz w:val="20"/>
                <w:szCs w:val="20"/>
              </w:rPr>
              <w:t xml:space="preserve"> knowledge of IT and cyber security</w:t>
            </w:r>
          </w:p>
        </w:tc>
        <w:tc>
          <w:tcPr>
            <w:tcW w:w="3260" w:type="dxa"/>
          </w:tcPr>
          <w:p w14:paraId="1B274E5E" w14:textId="5EBE8302" w:rsidR="00DF57BF" w:rsidRPr="00C932B1" w:rsidRDefault="00C932B1" w:rsidP="00022C17">
            <w:pPr>
              <w:pStyle w:val="ListParagraph"/>
              <w:numPr>
                <w:ilvl w:val="0"/>
                <w:numId w:val="5"/>
              </w:numPr>
              <w:spacing w:after="0"/>
              <w:rPr>
                <w:rFonts w:ascii="Arial" w:eastAsia="Calibri" w:hAnsi="Arial" w:cs="Arial"/>
                <w:bCs/>
                <w:sz w:val="20"/>
                <w:szCs w:val="20"/>
              </w:rPr>
            </w:pPr>
            <w:r w:rsidRPr="00C932B1">
              <w:rPr>
                <w:rFonts w:ascii="Arial" w:eastAsia="Calibri" w:hAnsi="Arial" w:cs="Arial"/>
                <w:bCs/>
                <w:sz w:val="20"/>
                <w:szCs w:val="20"/>
              </w:rPr>
              <w:t>IT Risk management</w:t>
            </w:r>
          </w:p>
          <w:p w14:paraId="630C5138" w14:textId="2A73C2AA" w:rsidR="00DF57BF" w:rsidRPr="00C932B1" w:rsidRDefault="00C932B1" w:rsidP="00022C17">
            <w:pPr>
              <w:pStyle w:val="ListParagraph"/>
              <w:numPr>
                <w:ilvl w:val="0"/>
                <w:numId w:val="5"/>
              </w:numPr>
              <w:spacing w:after="0"/>
              <w:rPr>
                <w:rFonts w:ascii="Arial" w:eastAsia="Calibri" w:hAnsi="Arial" w:cs="Arial"/>
                <w:bCs/>
                <w:sz w:val="20"/>
                <w:szCs w:val="20"/>
              </w:rPr>
            </w:pPr>
            <w:r w:rsidRPr="00C932B1">
              <w:rPr>
                <w:rFonts w:ascii="Arial" w:eastAsia="Calibri" w:hAnsi="Arial" w:cs="Arial"/>
                <w:bCs/>
                <w:sz w:val="20"/>
                <w:szCs w:val="20"/>
              </w:rPr>
              <w:t>Project/Programme Risk management</w:t>
            </w:r>
          </w:p>
          <w:p w14:paraId="6719DE90" w14:textId="77777777" w:rsidR="00E40AC5" w:rsidRPr="00DF57BF" w:rsidRDefault="00165268" w:rsidP="00022C17">
            <w:pPr>
              <w:pStyle w:val="ListParagraph"/>
              <w:numPr>
                <w:ilvl w:val="0"/>
                <w:numId w:val="5"/>
              </w:numPr>
              <w:spacing w:after="0"/>
              <w:rPr>
                <w:rFonts w:ascii="Arial" w:eastAsia="Calibri" w:hAnsi="Arial" w:cs="Arial"/>
                <w:b/>
                <w:sz w:val="20"/>
                <w:szCs w:val="20"/>
              </w:rPr>
            </w:pPr>
            <w:r w:rsidRPr="00022C17">
              <w:rPr>
                <w:rFonts w:ascii="Arial" w:eastAsia="Calibri" w:hAnsi="Arial" w:cs="Arial"/>
                <w:sz w:val="20"/>
                <w:szCs w:val="20"/>
              </w:rPr>
              <w:t>Appreciation of Healthcare both in the UK and internationally to understand the changing nature of these markets.</w:t>
            </w:r>
          </w:p>
          <w:p w14:paraId="202CED76" w14:textId="30758696" w:rsidR="00DF57BF" w:rsidRPr="00DF57BF" w:rsidRDefault="00DF57BF" w:rsidP="00DF57BF">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lastRenderedPageBreak/>
              <w:t>Good understanding of the Lloyd’s Principles for Business</w:t>
            </w:r>
          </w:p>
        </w:tc>
      </w:tr>
    </w:tbl>
    <w:p w14:paraId="3D32FF7F" w14:textId="77777777" w:rsidR="0056188D" w:rsidRPr="00B75089" w:rsidRDefault="0056188D" w:rsidP="00E94052">
      <w:pPr>
        <w:spacing w:line="240" w:lineRule="auto"/>
        <w:rPr>
          <w:rFonts w:ascii="Arial" w:hAnsi="Arial" w:cs="Arial"/>
        </w:rPr>
      </w:pPr>
    </w:p>
    <w:sectPr w:rsidR="0056188D" w:rsidRPr="00B75089" w:rsidSect="004454D1">
      <w:headerReference w:type="default" r:id="rId9"/>
      <w:footerReference w:type="default" r:id="rId10"/>
      <w:pgSz w:w="11909" w:h="16834" w:code="9"/>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1AF3" w14:textId="77777777" w:rsidR="006C5C66" w:rsidRDefault="006C5C66" w:rsidP="009E22D0">
      <w:pPr>
        <w:spacing w:after="0" w:line="240" w:lineRule="auto"/>
      </w:pPr>
      <w:r>
        <w:separator/>
      </w:r>
    </w:p>
  </w:endnote>
  <w:endnote w:type="continuationSeparator" w:id="0">
    <w:p w14:paraId="7F14BF53" w14:textId="77777777" w:rsidR="006C5C66" w:rsidRDefault="006C5C6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1E6C" w14:textId="77777777" w:rsidR="004454D1" w:rsidRPr="00AD458B" w:rsidRDefault="004454D1" w:rsidP="004454D1">
    <w:pPr>
      <w:pBdr>
        <w:bottom w:val="single" w:sz="6" w:space="1" w:color="auto"/>
      </w:pBdr>
      <w:tabs>
        <w:tab w:val="center" w:pos="4513"/>
        <w:tab w:val="right" w:pos="9026"/>
      </w:tabs>
      <w:spacing w:after="0" w:line="240" w:lineRule="auto"/>
      <w:rPr>
        <w:rFonts w:ascii="Arial" w:eastAsiaTheme="minorHAnsi" w:hAnsi="Arial" w:cs="Arial"/>
        <w:lang w:eastAsia="en-US"/>
      </w:rPr>
    </w:pPr>
  </w:p>
  <w:p w14:paraId="42A4E57C" w14:textId="12364998" w:rsidR="004454D1" w:rsidRPr="00AD458B" w:rsidRDefault="004454D1" w:rsidP="004454D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8829C5">
      <w:rPr>
        <w:rFonts w:ascii="Arial" w:eastAsiaTheme="minorHAnsi" w:hAnsi="Arial" w:cs="Arial"/>
        <w:sz w:val="16"/>
        <w:lang w:eastAsia="en-US"/>
      </w:rPr>
      <w:t>December 2023</w:t>
    </w:r>
  </w:p>
  <w:p w14:paraId="08CD57CA" w14:textId="7A464D86" w:rsidR="004454D1" w:rsidRPr="00AD458B" w:rsidRDefault="004454D1" w:rsidP="004454D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8829C5">
      <w:rPr>
        <w:rFonts w:ascii="Arial" w:eastAsiaTheme="minorHAnsi" w:hAnsi="Arial" w:cs="Arial"/>
        <w:sz w:val="16"/>
        <w:lang w:eastAsia="en-US"/>
      </w:rPr>
      <w:t>December 2024</w:t>
    </w:r>
  </w:p>
  <w:p w14:paraId="6240ED5E" w14:textId="77777777" w:rsidR="004454D1" w:rsidRDefault="0044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28DE" w14:textId="77777777" w:rsidR="006C5C66" w:rsidRDefault="006C5C66" w:rsidP="009E22D0">
      <w:pPr>
        <w:spacing w:after="0" w:line="240" w:lineRule="auto"/>
      </w:pPr>
      <w:r>
        <w:separator/>
      </w:r>
    </w:p>
  </w:footnote>
  <w:footnote w:type="continuationSeparator" w:id="0">
    <w:p w14:paraId="6A33FE72" w14:textId="77777777" w:rsidR="006C5C66" w:rsidRDefault="006C5C6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7A4" w14:textId="42A33D24" w:rsidR="00C91CFA" w:rsidRPr="000E4361" w:rsidRDefault="000E4361" w:rsidP="000E4361">
    <w:pPr>
      <w:pStyle w:val="Header"/>
    </w:pPr>
    <w:r w:rsidRPr="000E4361">
      <w:rPr>
        <w:b/>
        <w:sz w:val="44"/>
        <w:szCs w:val="48"/>
      </w:rPr>
      <w:t>ROLE PROFILE</w:t>
    </w:r>
    <w:r>
      <w:tab/>
    </w:r>
    <w:r>
      <w:tab/>
    </w:r>
    <w:r>
      <w:rPr>
        <w:noProof/>
      </w:rPr>
      <w:drawing>
        <wp:inline distT="0" distB="0" distL="0" distR="0" wp14:anchorId="5DBEC9EE" wp14:editId="7B55867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3EC"/>
    <w:multiLevelType w:val="hybridMultilevel"/>
    <w:tmpl w:val="D43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9F07F2"/>
    <w:multiLevelType w:val="hybridMultilevel"/>
    <w:tmpl w:val="F63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20EB8"/>
    <w:multiLevelType w:val="hybridMultilevel"/>
    <w:tmpl w:val="A056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5C39"/>
    <w:multiLevelType w:val="hybridMultilevel"/>
    <w:tmpl w:val="1E3C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4BE8"/>
    <w:multiLevelType w:val="hybridMultilevel"/>
    <w:tmpl w:val="643E2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574D2"/>
    <w:multiLevelType w:val="hybridMultilevel"/>
    <w:tmpl w:val="CB32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466FF"/>
    <w:multiLevelType w:val="hybridMultilevel"/>
    <w:tmpl w:val="16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00D07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87001"/>
    <w:multiLevelType w:val="hybridMultilevel"/>
    <w:tmpl w:val="5FC43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30670"/>
    <w:multiLevelType w:val="hybridMultilevel"/>
    <w:tmpl w:val="30AC98BE"/>
    <w:lvl w:ilvl="0" w:tplc="08090001">
      <w:start w:val="1"/>
      <w:numFmt w:val="bullet"/>
      <w:lvlText w:val=""/>
      <w:lvlJc w:val="left"/>
      <w:pPr>
        <w:ind w:left="360" w:hanging="360"/>
      </w:pPr>
      <w:rPr>
        <w:rFonts w:ascii="Symbol" w:hAnsi="Symbol" w:hint="default"/>
      </w:rPr>
    </w:lvl>
    <w:lvl w:ilvl="1" w:tplc="210C37C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076D60"/>
    <w:multiLevelType w:val="hybridMultilevel"/>
    <w:tmpl w:val="7DEE9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7D2EB6"/>
    <w:multiLevelType w:val="hybridMultilevel"/>
    <w:tmpl w:val="8B720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731F86"/>
    <w:multiLevelType w:val="hybridMultilevel"/>
    <w:tmpl w:val="1C9CD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DD28B0"/>
    <w:multiLevelType w:val="hybridMultilevel"/>
    <w:tmpl w:val="6216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B1FF6"/>
    <w:multiLevelType w:val="hybridMultilevel"/>
    <w:tmpl w:val="19B2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2248131">
    <w:abstractNumId w:val="15"/>
  </w:num>
  <w:num w:numId="2" w16cid:durableId="1603145483">
    <w:abstractNumId w:val="1"/>
  </w:num>
  <w:num w:numId="3" w16cid:durableId="166136293">
    <w:abstractNumId w:val="13"/>
  </w:num>
  <w:num w:numId="4" w16cid:durableId="208691829">
    <w:abstractNumId w:val="9"/>
  </w:num>
  <w:num w:numId="5" w16cid:durableId="1044599467">
    <w:abstractNumId w:val="14"/>
  </w:num>
  <w:num w:numId="6" w16cid:durableId="336425662">
    <w:abstractNumId w:val="2"/>
  </w:num>
  <w:num w:numId="7" w16cid:durableId="564879615">
    <w:abstractNumId w:val="16"/>
  </w:num>
  <w:num w:numId="8" w16cid:durableId="1128090022">
    <w:abstractNumId w:val="25"/>
  </w:num>
  <w:num w:numId="9" w16cid:durableId="811869335">
    <w:abstractNumId w:val="26"/>
  </w:num>
  <w:num w:numId="10" w16cid:durableId="2061975719">
    <w:abstractNumId w:val="18"/>
  </w:num>
  <w:num w:numId="11" w16cid:durableId="1856579285">
    <w:abstractNumId w:val="4"/>
  </w:num>
  <w:num w:numId="12" w16cid:durableId="358119824">
    <w:abstractNumId w:val="19"/>
  </w:num>
  <w:num w:numId="13" w16cid:durableId="1289242138">
    <w:abstractNumId w:val="10"/>
  </w:num>
  <w:num w:numId="14" w16cid:durableId="860440371">
    <w:abstractNumId w:val="6"/>
  </w:num>
  <w:num w:numId="15" w16cid:durableId="1002439960">
    <w:abstractNumId w:val="21"/>
  </w:num>
  <w:num w:numId="16" w16cid:durableId="1901821201">
    <w:abstractNumId w:val="17"/>
  </w:num>
  <w:num w:numId="17" w16cid:durableId="58066444">
    <w:abstractNumId w:val="23"/>
  </w:num>
  <w:num w:numId="18" w16cid:durableId="614750936">
    <w:abstractNumId w:val="24"/>
  </w:num>
  <w:num w:numId="19" w16cid:durableId="201597538">
    <w:abstractNumId w:val="5"/>
  </w:num>
  <w:num w:numId="20" w16cid:durableId="532769470">
    <w:abstractNumId w:val="22"/>
  </w:num>
  <w:num w:numId="21" w16cid:durableId="1214274110">
    <w:abstractNumId w:val="7"/>
  </w:num>
  <w:num w:numId="22" w16cid:durableId="220018984">
    <w:abstractNumId w:val="0"/>
  </w:num>
  <w:num w:numId="23" w16cid:durableId="964114677">
    <w:abstractNumId w:val="12"/>
  </w:num>
  <w:num w:numId="24" w16cid:durableId="390660211">
    <w:abstractNumId w:val="8"/>
  </w:num>
  <w:num w:numId="25" w16cid:durableId="1882012839">
    <w:abstractNumId w:val="27"/>
  </w:num>
  <w:num w:numId="26" w16cid:durableId="1529104316">
    <w:abstractNumId w:val="11"/>
  </w:num>
  <w:num w:numId="27" w16cid:durableId="43019331">
    <w:abstractNumId w:val="20"/>
  </w:num>
  <w:num w:numId="28" w16cid:durableId="849413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2C17"/>
    <w:rsid w:val="000563AB"/>
    <w:rsid w:val="00067EE0"/>
    <w:rsid w:val="00082F60"/>
    <w:rsid w:val="000A292B"/>
    <w:rsid w:val="000B4FA5"/>
    <w:rsid w:val="000E4361"/>
    <w:rsid w:val="000F7C69"/>
    <w:rsid w:val="001050E3"/>
    <w:rsid w:val="001112A8"/>
    <w:rsid w:val="00112730"/>
    <w:rsid w:val="00165268"/>
    <w:rsid w:val="001811EC"/>
    <w:rsid w:val="001A49E3"/>
    <w:rsid w:val="001B75A3"/>
    <w:rsid w:val="001B7BE3"/>
    <w:rsid w:val="001C5F6C"/>
    <w:rsid w:val="001F002C"/>
    <w:rsid w:val="002567B1"/>
    <w:rsid w:val="002B557F"/>
    <w:rsid w:val="002D0FB8"/>
    <w:rsid w:val="00363C5A"/>
    <w:rsid w:val="00367843"/>
    <w:rsid w:val="003739F7"/>
    <w:rsid w:val="003A690E"/>
    <w:rsid w:val="00417AF5"/>
    <w:rsid w:val="004210FD"/>
    <w:rsid w:val="00421283"/>
    <w:rsid w:val="004454D1"/>
    <w:rsid w:val="00452613"/>
    <w:rsid w:val="00472468"/>
    <w:rsid w:val="004A61AE"/>
    <w:rsid w:val="004D18E8"/>
    <w:rsid w:val="004F5826"/>
    <w:rsid w:val="00525FAF"/>
    <w:rsid w:val="00546DCC"/>
    <w:rsid w:val="005542D1"/>
    <w:rsid w:val="0055618D"/>
    <w:rsid w:val="0056188D"/>
    <w:rsid w:val="00566753"/>
    <w:rsid w:val="00575436"/>
    <w:rsid w:val="00600A62"/>
    <w:rsid w:val="006219B1"/>
    <w:rsid w:val="00646B3A"/>
    <w:rsid w:val="006644BA"/>
    <w:rsid w:val="00666EB3"/>
    <w:rsid w:val="006C5B2A"/>
    <w:rsid w:val="006C5C66"/>
    <w:rsid w:val="006D03D1"/>
    <w:rsid w:val="006E1FE3"/>
    <w:rsid w:val="006E57AA"/>
    <w:rsid w:val="00711E46"/>
    <w:rsid w:val="00717094"/>
    <w:rsid w:val="007206F0"/>
    <w:rsid w:val="00734786"/>
    <w:rsid w:val="00755B22"/>
    <w:rsid w:val="00783DBC"/>
    <w:rsid w:val="007B0C94"/>
    <w:rsid w:val="007D168B"/>
    <w:rsid w:val="007D1D63"/>
    <w:rsid w:val="007E7CA1"/>
    <w:rsid w:val="00813AEB"/>
    <w:rsid w:val="00837047"/>
    <w:rsid w:val="00863982"/>
    <w:rsid w:val="0086546F"/>
    <w:rsid w:val="008829C5"/>
    <w:rsid w:val="00890A37"/>
    <w:rsid w:val="00896429"/>
    <w:rsid w:val="008B026A"/>
    <w:rsid w:val="008F0915"/>
    <w:rsid w:val="008F60C5"/>
    <w:rsid w:val="009120EB"/>
    <w:rsid w:val="00987C9E"/>
    <w:rsid w:val="009C1CF0"/>
    <w:rsid w:val="009E22D0"/>
    <w:rsid w:val="00A4414A"/>
    <w:rsid w:val="00A5016D"/>
    <w:rsid w:val="00A853F5"/>
    <w:rsid w:val="00A956A8"/>
    <w:rsid w:val="00AF62B1"/>
    <w:rsid w:val="00B07AFE"/>
    <w:rsid w:val="00B258F3"/>
    <w:rsid w:val="00B54D1A"/>
    <w:rsid w:val="00B57027"/>
    <w:rsid w:val="00B64B6F"/>
    <w:rsid w:val="00B75089"/>
    <w:rsid w:val="00B76617"/>
    <w:rsid w:val="00B91D54"/>
    <w:rsid w:val="00BE0D65"/>
    <w:rsid w:val="00BF41FC"/>
    <w:rsid w:val="00C23AAC"/>
    <w:rsid w:val="00C54381"/>
    <w:rsid w:val="00C91CFA"/>
    <w:rsid w:val="00C932B1"/>
    <w:rsid w:val="00C96E4B"/>
    <w:rsid w:val="00CA61A1"/>
    <w:rsid w:val="00CE5973"/>
    <w:rsid w:val="00D23BEE"/>
    <w:rsid w:val="00D74E1A"/>
    <w:rsid w:val="00DA7823"/>
    <w:rsid w:val="00DD53B2"/>
    <w:rsid w:val="00DD7891"/>
    <w:rsid w:val="00DF0B7F"/>
    <w:rsid w:val="00DF57BF"/>
    <w:rsid w:val="00E001A4"/>
    <w:rsid w:val="00E003AC"/>
    <w:rsid w:val="00E260A8"/>
    <w:rsid w:val="00E40AC5"/>
    <w:rsid w:val="00E6006F"/>
    <w:rsid w:val="00E856FD"/>
    <w:rsid w:val="00E94052"/>
    <w:rsid w:val="00EB63E6"/>
    <w:rsid w:val="00F02B96"/>
    <w:rsid w:val="00F14877"/>
    <w:rsid w:val="00F5319A"/>
    <w:rsid w:val="00F84ABA"/>
    <w:rsid w:val="00FA6D7E"/>
    <w:rsid w:val="00FB348F"/>
    <w:rsid w:val="00FB4711"/>
    <w:rsid w:val="00FB72C9"/>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7B7C"/>
  <w15:docId w15:val="{55EBBB63-0D6B-411C-8999-0DDD20A2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B2A"/>
    <w:rPr>
      <w:sz w:val="16"/>
      <w:szCs w:val="16"/>
    </w:rPr>
  </w:style>
  <w:style w:type="paragraph" w:styleId="CommentText">
    <w:name w:val="annotation text"/>
    <w:basedOn w:val="Normal"/>
    <w:link w:val="CommentTextChar"/>
    <w:uiPriority w:val="99"/>
    <w:semiHidden/>
    <w:unhideWhenUsed/>
    <w:rsid w:val="006C5B2A"/>
    <w:pPr>
      <w:spacing w:line="240" w:lineRule="auto"/>
    </w:pPr>
    <w:rPr>
      <w:sz w:val="20"/>
      <w:szCs w:val="20"/>
    </w:rPr>
  </w:style>
  <w:style w:type="character" w:customStyle="1" w:styleId="CommentTextChar">
    <w:name w:val="Comment Text Char"/>
    <w:basedOn w:val="DefaultParagraphFont"/>
    <w:link w:val="CommentText"/>
    <w:uiPriority w:val="99"/>
    <w:semiHidden/>
    <w:rsid w:val="006C5B2A"/>
    <w:rPr>
      <w:rFonts w:ascii="Calibri" w:hAnsi="Calibri"/>
    </w:rPr>
  </w:style>
  <w:style w:type="paragraph" w:styleId="CommentSubject">
    <w:name w:val="annotation subject"/>
    <w:basedOn w:val="CommentText"/>
    <w:next w:val="CommentText"/>
    <w:link w:val="CommentSubjectChar"/>
    <w:uiPriority w:val="99"/>
    <w:semiHidden/>
    <w:unhideWhenUsed/>
    <w:rsid w:val="006C5B2A"/>
    <w:rPr>
      <w:b/>
      <w:bCs/>
    </w:rPr>
  </w:style>
  <w:style w:type="character" w:customStyle="1" w:styleId="CommentSubjectChar">
    <w:name w:val="Comment Subject Char"/>
    <w:basedOn w:val="CommentTextChar"/>
    <w:link w:val="CommentSubject"/>
    <w:uiPriority w:val="99"/>
    <w:semiHidden/>
    <w:rsid w:val="006C5B2A"/>
    <w:rPr>
      <w:rFonts w:ascii="Calibri" w:hAnsi="Calibri"/>
      <w:b/>
      <w:bCs/>
    </w:rPr>
  </w:style>
  <w:style w:type="paragraph" w:styleId="Revision">
    <w:name w:val="Revision"/>
    <w:hidden/>
    <w:uiPriority w:val="99"/>
    <w:semiHidden/>
    <w:rsid w:val="00DD789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7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859FECA-C25D-4041-973F-DDE1E7C4446F}">
  <ds:schemaRefs>
    <ds:schemaRef ds:uri="http://schemas.openxmlformats.org/officeDocument/2006/bibliography"/>
  </ds:schemaRefs>
</ds:datastoreItem>
</file>

<file path=customXml/itemProps2.xml><?xml version="1.0" encoding="utf-8"?>
<ds:datastoreItem xmlns:ds="http://schemas.openxmlformats.org/officeDocument/2006/customXml" ds:itemID="{D99C9116-DDD4-4640-85F1-536E97FEE1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Beth Fisher</cp:lastModifiedBy>
  <cp:revision>2</cp:revision>
  <cp:lastPrinted>2022-06-09T10:09:00Z</cp:lastPrinted>
  <dcterms:created xsi:type="dcterms:W3CDTF">2024-02-13T16:16:00Z</dcterms:created>
  <dcterms:modified xsi:type="dcterms:W3CDTF">2024-02-13T16:16:00Z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ef85135b-f1c5-431e-89e6-ec1db52c64dd</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