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220569BD" w:rsidR="004020D9" w:rsidRPr="00292FE2" w:rsidRDefault="0086061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Operations </w:t>
            </w:r>
            <w:r w:rsidR="00E307B3">
              <w:rPr>
                <w:rFonts w:ascii="Arial" w:hAnsi="Arial" w:cs="Arial"/>
                <w:iCs/>
                <w:sz w:val="20"/>
                <w:szCs w:val="20"/>
              </w:rPr>
              <w:t>Lead</w:t>
            </w: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 - Service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46B8F052" w:rsidR="004020D9" w:rsidRPr="00292FE2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Director of Operations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B77C561" w:rsidR="004020D9" w:rsidRPr="00292FE2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080BB406" w:rsidR="004020D9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– UK &amp; Ireland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1A9B0A57" w:rsidR="0018266D" w:rsidRPr="00292FE2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Up to </w:t>
            </w:r>
            <w:r w:rsidR="00E26285" w:rsidRPr="00292FE2"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 direct reports – Operational Team Leads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4EFD59BE" w:rsidR="00682B78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&amp; Ireland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7C150D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49341C70" w14:textId="3EE975B5" w:rsidR="00682B78" w:rsidRPr="007C150D" w:rsidRDefault="00860612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Up</w:t>
            </w:r>
            <w:r w:rsidR="00961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>to 80</w:t>
            </w:r>
            <w:r w:rsidR="00682B78" w:rsidRPr="007C150D">
              <w:rPr>
                <w:rFonts w:ascii="Arial" w:hAnsi="Arial" w:cs="Arial"/>
                <w:sz w:val="20"/>
                <w:szCs w:val="20"/>
              </w:rPr>
              <w:t xml:space="preserve"> People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33CAB4" w14:textId="7A276C81" w:rsidR="00682B78" w:rsidRPr="007C150D" w:rsidRDefault="00682B78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£</w:t>
            </w:r>
            <w:r w:rsidR="00860612" w:rsidRPr="007C150D">
              <w:rPr>
                <w:rFonts w:ascii="Arial" w:hAnsi="Arial" w:cs="Arial"/>
                <w:sz w:val="20"/>
                <w:szCs w:val="20"/>
              </w:rPr>
              <w:t>2m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>b</w:t>
            </w:r>
            <w:r w:rsidRPr="007C150D">
              <w:rPr>
                <w:rFonts w:ascii="Arial" w:hAnsi="Arial" w:cs="Arial"/>
                <w:sz w:val="20"/>
                <w:szCs w:val="20"/>
              </w:rPr>
              <w:t>udget</w:t>
            </w:r>
          </w:p>
          <w:p w14:paraId="6319F923" w14:textId="08EB152D" w:rsidR="00682B78" w:rsidRPr="007C150D" w:rsidRDefault="00682B78" w:rsidP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2D40F3AD" w14:textId="62AC0D8F" w:rsid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DF6596C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A96B5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75DD5368" w:rsidR="009E0E2B" w:rsidRPr="00292FE2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Guide 2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69704E40" w:rsidR="009E0E2B" w:rsidRPr="00292FE2" w:rsidRDefault="0086061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92FE2">
              <w:rPr>
                <w:rFonts w:ascii="Arial" w:hAnsi="Arial" w:cs="Arial"/>
                <w:iCs/>
                <w:sz w:val="20"/>
                <w:szCs w:val="20"/>
              </w:rPr>
              <w:t>Business and Operational Services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292FE2">
        <w:trPr>
          <w:trHeight w:val="740"/>
        </w:trPr>
        <w:tc>
          <w:tcPr>
            <w:tcW w:w="9016" w:type="dxa"/>
          </w:tcPr>
          <w:p w14:paraId="001552B2" w14:textId="02923B88" w:rsidR="004020D9" w:rsidRPr="00292FE2" w:rsidRDefault="00EE0D7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Operations function delivers </w:t>
            </w:r>
            <w:r w:rsidR="00DC5081">
              <w:rPr>
                <w:rFonts w:ascii="Arial" w:hAnsi="Arial" w:cs="Arial"/>
                <w:iCs/>
                <w:sz w:val="20"/>
                <w:szCs w:val="20"/>
              </w:rPr>
              <w:t xml:space="preserve">efficient, effective and member centric services across the globe, ensuring we are there for our members, when they need us most.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As a member of the Operations leadership team, this role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>provide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 xml:space="preserve"> operational leadership across the Service function, ensuring the delivery of outstanding contact centre services that are trusted, valued, and consistently deliver fair treatment and positive outcomes for members. 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The role holder will lead a department of team leaders and their direct reports, driving engagement through great communication, effective EDI practises and a focus on development to deliver a great place to work for our colleagues. </w:t>
            </w:r>
            <w:r w:rsidR="007C150D" w:rsidRPr="00292FE2">
              <w:rPr>
                <w:rFonts w:ascii="Arial" w:hAnsi="Arial" w:cs="Arial"/>
                <w:iCs/>
                <w:sz w:val="20"/>
                <w:szCs w:val="20"/>
              </w:rPr>
              <w:t>The role is accountable for optimising team performance against agreed service levels, driving efficiency and effectiveness, and fostering a culture of continuous improvement and member-centric service excellence.</w:t>
            </w:r>
            <w:r w:rsidR="00F85FC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971590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Examples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</w:t>
            </w:r>
            <w:proofErr w:type="gramEnd"/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 xml:space="preserve"> of Success/KPI’s</w:t>
            </w:r>
          </w:p>
          <w:p w14:paraId="2B985A57" w14:textId="244D6892" w:rsidR="00682B78" w:rsidRPr="00682B78" w:rsidRDefault="00682B78" w:rsidP="003B04B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0484F3E7" w14:textId="310CD95A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Set the strategic direction for the Service function in alignment with organisational </w:t>
            </w:r>
            <w:r w:rsidR="005F7F02">
              <w:rPr>
                <w:rFonts w:ascii="Arial" w:hAnsi="Arial" w:cs="Arial"/>
                <w:sz w:val="20"/>
                <w:szCs w:val="20"/>
              </w:rPr>
              <w:t>strategy</w:t>
            </w:r>
          </w:p>
          <w:p w14:paraId="7B8D96E4" w14:textId="5F509263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</w:p>
          <w:p w14:paraId="01E2AEF4" w14:textId="2F0148BF" w:rsid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Translate strategy into operational plans and performance targets</w:t>
            </w:r>
          </w:p>
          <w:p w14:paraId="6F13F741" w14:textId="2A6B786D" w:rsidR="005F7F02" w:rsidRPr="007C150D" w:rsidRDefault="005F7F02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Drive a continuous improvement 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mindset </w:t>
            </w:r>
            <w:r>
              <w:rPr>
                <w:rFonts w:ascii="Arial" w:hAnsi="Arial" w:cs="Arial"/>
                <w:sz w:val="20"/>
                <w:szCs w:val="20"/>
              </w:rPr>
              <w:t>which reduces inefficiency and adds Member value</w:t>
            </w:r>
          </w:p>
          <w:p w14:paraId="705E7F82" w14:textId="70726BA6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Influence cross-functional collaboration to enhance service delivery and operational resilience</w:t>
            </w:r>
          </w:p>
          <w:p w14:paraId="744E9942" w14:textId="1E6304B9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Represent the Service function in senior leadership forums and contribute to </w:t>
            </w:r>
            <w:r w:rsidR="005F7F02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  <w:r w:rsidRPr="007C150D">
              <w:rPr>
                <w:rFonts w:ascii="Arial" w:hAnsi="Arial" w:cs="Arial"/>
                <w:sz w:val="20"/>
                <w:szCs w:val="20"/>
              </w:rPr>
              <w:t>wide initiatives</w:t>
            </w:r>
          </w:p>
          <w:p w14:paraId="786BBC8E" w14:textId="77777777" w:rsidR="004020D9" w:rsidRPr="007C150D" w:rsidRDefault="004020D9" w:rsidP="00F6098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10C2B8" w14:textId="01D7DD76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Achievement of departmental objectives aligned to strategic goals</w:t>
            </w:r>
          </w:p>
          <w:p w14:paraId="5E0AD8E5" w14:textId="7A7CF745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Delivery of operational plans on time and within scope</w:t>
            </w:r>
          </w:p>
          <w:p w14:paraId="18B6C4A2" w14:textId="5B9928A8" w:rsidR="00C01504" w:rsidRPr="005F7F02" w:rsidRDefault="00D71556" w:rsidP="00C01504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surveys</w:t>
            </w:r>
          </w:p>
          <w:p w14:paraId="7DA7C364" w14:textId="1DB9AAF9" w:rsidR="005F7F02" w:rsidRPr="005F7F02" w:rsidRDefault="00D71556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27FFCFB6" w14:textId="12DE733F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Number and impact of improvement initiatives led or sponsored</w:t>
            </w:r>
          </w:p>
          <w:p w14:paraId="216624BF" w14:textId="7D159562" w:rsidR="004020D9" w:rsidRPr="00682B78" w:rsidRDefault="004020D9" w:rsidP="005F7F02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3EA4783" w14:textId="51930763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 xml:space="preserve">Manage the Service function’s budget, </w:t>
            </w:r>
            <w:r w:rsidR="00D71556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5F7F02">
              <w:rPr>
                <w:rFonts w:ascii="Arial" w:hAnsi="Arial" w:cs="Arial"/>
                <w:sz w:val="20"/>
                <w:szCs w:val="20"/>
              </w:rPr>
              <w:t>ensuring cost-effective resource allocation</w:t>
            </w:r>
          </w:p>
          <w:p w14:paraId="7DC6727C" w14:textId="686E16B7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 xml:space="preserve">Monitor financial performance 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of the membership </w:t>
            </w:r>
            <w:r w:rsidRPr="005F7F02">
              <w:rPr>
                <w:rFonts w:ascii="Arial" w:hAnsi="Arial" w:cs="Arial"/>
                <w:sz w:val="20"/>
                <w:szCs w:val="20"/>
              </w:rPr>
              <w:t>and identify opportunities for efficiency gains</w:t>
            </w:r>
            <w:r w:rsidR="003B04B1">
              <w:rPr>
                <w:rFonts w:ascii="Arial" w:hAnsi="Arial" w:cs="Arial"/>
                <w:sz w:val="20"/>
                <w:szCs w:val="20"/>
              </w:rPr>
              <w:t xml:space="preserve"> or member growth</w:t>
            </w:r>
          </w:p>
          <w:p w14:paraId="4122EFAA" w14:textId="15359BBF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Lead initiatives to reduce operational costs without compromising service quality</w:t>
            </w:r>
          </w:p>
          <w:p w14:paraId="745126E5" w14:textId="40B1F32A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Support forecasting, planning, and reporting processes with accurate data and insights</w:t>
            </w:r>
          </w:p>
          <w:p w14:paraId="015074EA" w14:textId="77777777" w:rsidR="00044EDF" w:rsidRPr="00562802" w:rsidRDefault="00044EDF" w:rsidP="00044EDF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35A34C" w14:textId="634B7C9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Budget adherence (% variance vs. forecast)</w:t>
            </w:r>
          </w:p>
          <w:p w14:paraId="3BC65CC6" w14:textId="543B361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Income/retention/new members v plan</w:t>
            </w:r>
          </w:p>
          <w:p w14:paraId="43E1DA52" w14:textId="4FA808CD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Efficiency savings delivered (e.g., through automation or process redesign)</w:t>
            </w:r>
          </w:p>
          <w:p w14:paraId="4A8143B8" w14:textId="00E34EA1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ROI on operational initiatives</w:t>
            </w:r>
          </w:p>
          <w:p w14:paraId="5C0FD211" w14:textId="241143E3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Accuracy and timeliness of financial reporting</w:t>
            </w:r>
          </w:p>
          <w:p w14:paraId="7E09F139" w14:textId="61786BAB" w:rsidR="003B04B1" w:rsidRPr="00682B78" w:rsidRDefault="003B04B1" w:rsidP="003B04B1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Member</w:t>
            </w:r>
          </w:p>
          <w:p w14:paraId="316788F4" w14:textId="5ED8F90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Champion a member-first approach across all service interactions</w:t>
            </w:r>
          </w:p>
          <w:p w14:paraId="6BFDBC73" w14:textId="5CD6C1B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Ensure delivery of fair, consistent, and high-quality outcomes for members</w:t>
            </w:r>
          </w:p>
          <w:p w14:paraId="00337062" w14:textId="19A1385C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Monitor member satisfaction and feedback</w:t>
            </w:r>
            <w:r>
              <w:rPr>
                <w:rFonts w:ascii="Arial" w:hAnsi="Arial" w:cs="Arial"/>
                <w:sz w:val="20"/>
                <w:szCs w:val="20"/>
              </w:rPr>
              <w:t>, conducting root cause analysis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to drive service improvements</w:t>
            </w:r>
          </w:p>
          <w:p w14:paraId="506B0298" w14:textId="5877EF2B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Embed member-centric values into team behaviours, training, and performance measures</w:t>
            </w:r>
          </w:p>
          <w:p w14:paraId="344F5464" w14:textId="7C1CF98E" w:rsid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Act as an escalation point for complex or sensitive member issues</w:t>
            </w:r>
          </w:p>
          <w:p w14:paraId="0BE0EE5A" w14:textId="68AFBEDC" w:rsidR="00BE01EF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a continuous improvement mindset which reduces inefficiency and adds Member value</w:t>
            </w:r>
          </w:p>
          <w:p w14:paraId="49DA10BF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B6055" w14:textId="6E7F621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Member satisfaction score (e.g., </w:t>
            </w:r>
            <w:r>
              <w:rPr>
                <w:rFonts w:ascii="Arial" w:hAnsi="Arial" w:cs="Arial"/>
                <w:sz w:val="20"/>
                <w:szCs w:val="20"/>
              </w:rPr>
              <w:t>Member Sat</w:t>
            </w:r>
            <w:r w:rsidRPr="003B04B1">
              <w:rPr>
                <w:rFonts w:ascii="Arial" w:hAnsi="Arial" w:cs="Arial"/>
                <w:sz w:val="20"/>
                <w:szCs w:val="20"/>
              </w:rPr>
              <w:t>, NPS)</w:t>
            </w:r>
          </w:p>
          <w:p w14:paraId="40FB688F" w14:textId="50E6C47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First contact resolution rate</w:t>
            </w:r>
          </w:p>
          <w:p w14:paraId="07E6FAF6" w14:textId="76ECFFED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Average handling time and wait time</w:t>
            </w:r>
          </w:p>
          <w:p w14:paraId="43366E02" w14:textId="7E735CB7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Complaints volume</w:t>
            </w:r>
            <w:r>
              <w:rPr>
                <w:rFonts w:ascii="Arial" w:hAnsi="Arial" w:cs="Arial"/>
                <w:sz w:val="20"/>
                <w:szCs w:val="20"/>
              </w:rPr>
              <w:t>s, outcomes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and resolution time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A2716E0" w14:textId="787BB0FE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Quality assurance scores and audit outcomes</w:t>
            </w:r>
          </w:p>
          <w:p w14:paraId="0C10A9C7" w14:textId="18D431E8" w:rsidR="004020D9" w:rsidRPr="008D1E4B" w:rsidRDefault="004020D9" w:rsidP="003B04B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38A64224" w14:textId="278679F7" w:rsidR="001A3211" w:rsidRPr="001A3211" w:rsidRDefault="001A3211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Lead, coach, and develop a high-performing team </w:t>
            </w:r>
            <w:r w:rsidR="0096134E">
              <w:rPr>
                <w:rFonts w:ascii="Arial" w:hAnsi="Arial" w:cs="Arial"/>
                <w:sz w:val="20"/>
                <w:szCs w:val="20"/>
              </w:rPr>
              <w:t>whilst cultivating a great place to work for colleagues.</w:t>
            </w:r>
          </w:p>
          <w:p w14:paraId="5D443A1D" w14:textId="0AAED000" w:rsidR="001A3211" w:rsidRPr="001A3211" w:rsidRDefault="001A3211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engagement through clear communication, recognition, and development opportunities</w:t>
            </w:r>
            <w:r w:rsidR="00313E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265AA2" w14:textId="571F2724" w:rsidR="001A3211" w:rsidRPr="001A3211" w:rsidRDefault="001A3211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Manage workforce planning, recruitment, and succession strategies</w:t>
            </w:r>
            <w:r w:rsidR="00313E91">
              <w:rPr>
                <w:rFonts w:ascii="Arial" w:hAnsi="Arial" w:cs="Arial"/>
                <w:sz w:val="20"/>
                <w:szCs w:val="20"/>
              </w:rPr>
              <w:t xml:space="preserve"> to ensure sufficient capability and capacity across the department.</w:t>
            </w:r>
          </w:p>
          <w:p w14:paraId="176FF370" w14:textId="61116958" w:rsidR="001A3211" w:rsidRDefault="001A3211" w:rsidP="009613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Build capability through structured training, mentoring, and performance management</w:t>
            </w:r>
            <w:r w:rsidR="00313E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FECBE9" w14:textId="77777777" w:rsidR="0096134E" w:rsidRDefault="0096134E" w:rsidP="0096134E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0343D9">
              <w:rPr>
                <w:rFonts w:ascii="Arial" w:eastAsia="Calibri" w:hAnsi="Arial" w:cs="Arial"/>
                <w:sz w:val="20"/>
                <w:szCs w:val="20"/>
              </w:rPr>
              <w:t>Take the lead on promoting a more inclusive environment, which aligns with our commitment to celebrate and promote diversity.</w:t>
            </w:r>
          </w:p>
          <w:p w14:paraId="2400F297" w14:textId="5F480F7F" w:rsidR="0096134E" w:rsidRPr="0096134E" w:rsidRDefault="0096134E" w:rsidP="00313E91">
            <w:pPr>
              <w:pStyle w:val="ListParagraph"/>
              <w:spacing w:before="100" w:beforeAutospacing="1" w:after="100" w:afterAutospacing="1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CDEB81" w14:textId="641B13D4" w:rsidR="00562802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Delivery of People Plan</w:t>
            </w:r>
          </w:p>
          <w:p w14:paraId="61EB5D02" w14:textId="6607704E" w:rsidR="001A3211" w:rsidRPr="00562802" w:rsidRDefault="001A3211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DDB538A" w14:textId="77777777" w:rsidR="003A500C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28ABAD48" w14:textId="643DAF62" w:rsidR="001A3211" w:rsidRPr="0096134E" w:rsidRDefault="0096134E" w:rsidP="0096134E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>
              <w:rPr>
                <w:rFonts w:ascii="Arial" w:hAnsi="Arial" w:cs="Arial"/>
                <w:sz w:val="20"/>
                <w:szCs w:val="20"/>
              </w:rPr>
              <w:t>such as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attrition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absence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237EDE" w14:textId="13487070" w:rsidR="001A3211" w:rsidRP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Training completion and competency levels</w:t>
            </w:r>
          </w:p>
          <w:p w14:paraId="2C1B4B5B" w14:textId="4176357F" w:rsid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Performance review outcomes </w:t>
            </w:r>
          </w:p>
          <w:p w14:paraId="5E98E9EB" w14:textId="1B9256D3" w:rsidR="0096134E" w:rsidRDefault="0096134E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  <w:r w:rsidR="004E6CA8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F34586D" w14:textId="3E2C4E66" w:rsidR="00313E91" w:rsidRPr="001A3211" w:rsidRDefault="00313E9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3674021" w14:textId="536805D9" w:rsidR="001A3211" w:rsidRPr="001A3211" w:rsidRDefault="001A3211" w:rsidP="001A32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5F813AEF" w14:textId="27CBFC9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compliance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</w:p>
          <w:p w14:paraId="7BBED024" w14:textId="654AE11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Identify and mitigate operational risks, including service disruption, data protection, and reputational risk</w:t>
            </w:r>
          </w:p>
          <w:p w14:paraId="6243F5CE" w14:textId="4C04580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Maintain robust controls and audit readiness across all service processes</w:t>
            </w:r>
          </w:p>
          <w:p w14:paraId="6439BC12" w14:textId="4954A1A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Lead incident response and root cause analysis for service failures</w:t>
            </w:r>
          </w:p>
          <w:p w14:paraId="15F0EF62" w14:textId="576E1FA3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Promote a proactive risk culture and continuous improvement mindset</w:t>
            </w:r>
          </w:p>
          <w:p w14:paraId="676A47A0" w14:textId="445923E6" w:rsidR="00BE01EF" w:rsidRPr="001A3211" w:rsidRDefault="001A3211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robust Quality Assurance framework is in place</w:t>
            </w:r>
          </w:p>
          <w:p w14:paraId="15D480F3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BA9D1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BF53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8C055" w14:textId="77777777" w:rsidR="004020D9" w:rsidRPr="001A321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Risk &amp; Control Self- Assessments Audit Actions</w:t>
            </w:r>
          </w:p>
          <w:p w14:paraId="078A6ED7" w14:textId="00636F5A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Compliance audit results and regulatory findings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managed to agreed timescales</w:t>
            </w:r>
          </w:p>
          <w:p w14:paraId="64CAEE8B" w14:textId="51165E0D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Number of incidents and time to resolution</w:t>
            </w:r>
          </w:p>
          <w:p w14:paraId="582E2C6D" w14:textId="20EB272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Risk register updates and mitigation actions closed</w:t>
            </w:r>
          </w:p>
          <w:p w14:paraId="7E6B3AF1" w14:textId="7DA58CD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Data protection breaches or near misses</w:t>
            </w:r>
          </w:p>
          <w:p w14:paraId="72C13E96" w14:textId="465A5FD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Control effectiveness ratings from internal audit</w:t>
            </w:r>
          </w:p>
          <w:p w14:paraId="4B1A6020" w14:textId="6F5BF559" w:rsidR="001A3211" w:rsidRPr="00682B78" w:rsidRDefault="001A3211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7BE0B48C" w14:textId="7E85F659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Monitor and manage performance against agreed service levels, KPIs, and quality standards</w:t>
            </w:r>
          </w:p>
          <w:p w14:paraId="767B6B0C" w14:textId="79A9E807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continuous improvement initiatives to enhance member experience and operational efficiency</w:t>
            </w:r>
            <w:r w:rsidR="005642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6A5DD" w14:textId="06374ADC" w:rsid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relations with key internal stakeholders in underwriting, </w:t>
            </w:r>
            <w:r w:rsidR="0056420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roduct and </w:t>
            </w:r>
            <w:r w:rsidR="0056420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ricing for UK &amp; Ireland to ensure continual focus on member retention and growth</w:t>
            </w:r>
            <w:r w:rsidR="005642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C00C5" w14:textId="123F8635" w:rsidR="009638DB" w:rsidRP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Maintain awareness of competitor activity, market changes, regulated activity and indemnity developments and share learning with colleagues</w:t>
            </w:r>
            <w:r w:rsidR="005642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688FC3" w14:textId="4DFAEA78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Collaborate with internal stakeholders to ensure seamless service delivery and alignment with organisational goals</w:t>
            </w:r>
          </w:p>
          <w:p w14:paraId="0C601950" w14:textId="5D407C18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Analyse operational data to identify trends, risks, and opportunities for improvement</w:t>
            </w:r>
          </w:p>
          <w:p w14:paraId="5DB7D413" w14:textId="2E645B6D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compliance with regulatory requirements and internal governance standards</w:t>
            </w:r>
          </w:p>
          <w:p w14:paraId="704FB7B6" w14:textId="2BFBA490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Champion a culture of accountability, inclusion, and member-centric service excellence</w:t>
            </w:r>
          </w:p>
          <w:p w14:paraId="5F379B18" w14:textId="1AC196EF" w:rsidR="001A3211" w:rsidRDefault="009638DB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behaviours</w:t>
            </w:r>
          </w:p>
          <w:p w14:paraId="7DA74771" w14:textId="77E63239" w:rsidR="00564205" w:rsidRDefault="009638DB" w:rsidP="0056420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Champion</w:t>
            </w:r>
            <w:r w:rsidRPr="00E92C42">
              <w:rPr>
                <w:rFonts w:ascii="Arial" w:hAnsi="Arial" w:cs="Arial"/>
                <w:sz w:val="20"/>
                <w:szCs w:val="20"/>
              </w:rPr>
              <w:t xml:space="preserve"> cultural and strategic changes taking place across the business</w:t>
            </w:r>
            <w:r w:rsidR="00564205">
              <w:rPr>
                <w:rFonts w:ascii="Arial" w:hAnsi="Arial" w:cs="Arial"/>
                <w:sz w:val="20"/>
                <w:szCs w:val="20"/>
              </w:rPr>
              <w:t>, l</w:t>
            </w:r>
            <w:r w:rsidR="00564205" w:rsidRPr="000E152C">
              <w:rPr>
                <w:rFonts w:ascii="Arial" w:hAnsi="Arial" w:cs="Arial"/>
                <w:sz w:val="20"/>
                <w:szCs w:val="20"/>
              </w:rPr>
              <w:t>ead individual projects and change or delivery activities as required.</w:t>
            </w:r>
          </w:p>
          <w:p w14:paraId="497475A7" w14:textId="77777777" w:rsidR="00564205" w:rsidRDefault="00564205" w:rsidP="005642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B7F666" w14:textId="79A6BFB1" w:rsidR="00564205" w:rsidRPr="009638DB" w:rsidRDefault="00564205" w:rsidP="009638D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09EA">
              <w:rPr>
                <w:rFonts w:ascii="Arial" w:hAnsi="Arial" w:cs="Arial"/>
                <w:sz w:val="20"/>
                <w:szCs w:val="20"/>
              </w:rPr>
              <w:t>Underta</w:t>
            </w:r>
            <w:r>
              <w:rPr>
                <w:rFonts w:ascii="Arial" w:hAnsi="Arial" w:cs="Arial"/>
                <w:sz w:val="20"/>
                <w:szCs w:val="20"/>
              </w:rPr>
              <w:t>ke</w:t>
            </w:r>
            <w:r w:rsidRPr="00DE09EA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2767DB65" w14:textId="4E930EA0" w:rsidR="00682B78" w:rsidRPr="009638DB" w:rsidRDefault="009638DB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38DB">
              <w:rPr>
                <w:rFonts w:ascii="Arial" w:hAnsi="Arial" w:cs="Arial"/>
                <w:sz w:val="20"/>
                <w:szCs w:val="20"/>
              </w:rPr>
              <w:t>None currently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25CA0238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5853B3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26BB2262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75042B31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7E0A442D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27C7E5E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B47AC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B47AC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5FC6BFEE" w14:textId="4811EE85" w:rsidR="00430EED" w:rsidRPr="00305EFA" w:rsidRDefault="00A8314A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 or equivalent experience in Business Operations Management</w:t>
            </w:r>
            <w:r w:rsidR="0064230B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gramStart"/>
            <w:r w:rsidR="0064230B">
              <w:rPr>
                <w:rFonts w:ascii="Arial" w:hAnsi="Arial" w:cs="Arial"/>
                <w:sz w:val="20"/>
                <w:szCs w:val="20"/>
              </w:rPr>
              <w:t>service related</w:t>
            </w:r>
            <w:proofErr w:type="gramEnd"/>
            <w:r w:rsidR="0064230B">
              <w:rPr>
                <w:rFonts w:ascii="Arial" w:hAnsi="Arial" w:cs="Arial"/>
                <w:sz w:val="20"/>
                <w:szCs w:val="20"/>
              </w:rPr>
              <w:t xml:space="preserve"> field</w:t>
            </w:r>
          </w:p>
          <w:p w14:paraId="0A0BCAF5" w14:textId="278977D4" w:rsidR="00EF3604" w:rsidRPr="00C45A97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Knowledge and understand of the healthcare industry </w:t>
            </w:r>
          </w:p>
          <w:p w14:paraId="101195C9" w14:textId="6B01B36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Knowledge of service delivery frameworks, quality assurance and compliance</w:t>
            </w:r>
          </w:p>
          <w:p w14:paraId="0141F857" w14:textId="3B27A373" w:rsidR="00430EED" w:rsidRPr="00C45A97" w:rsidRDefault="0064230B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</w:t>
            </w:r>
            <w:r w:rsidR="00D66A41">
              <w:rPr>
                <w:rFonts w:ascii="Arial" w:hAnsi="Arial" w:cs="Arial"/>
                <w:sz w:val="20"/>
                <w:szCs w:val="20"/>
              </w:rPr>
              <w:t xml:space="preserve">f current and future service delivery options </w:t>
            </w:r>
            <w:r w:rsidR="00B21CAF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r w:rsidR="00B21CAF">
              <w:rPr>
                <w:rFonts w:ascii="Arial" w:hAnsi="Arial" w:cs="Arial"/>
                <w:sz w:val="20"/>
                <w:szCs w:val="20"/>
              </w:rPr>
              <w:t>multi channel</w:t>
            </w:r>
            <w:proofErr w:type="spellEnd"/>
            <w:r w:rsidR="00B21CAF">
              <w:rPr>
                <w:rFonts w:ascii="Arial" w:hAnsi="Arial" w:cs="Arial"/>
                <w:sz w:val="20"/>
                <w:szCs w:val="20"/>
              </w:rPr>
              <w:t xml:space="preserve"> service environments</w:t>
            </w:r>
          </w:p>
          <w:p w14:paraId="78BD48C8" w14:textId="788BB600" w:rsidR="00BE01EF" w:rsidRPr="00C45A97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A332C7" w14:textId="76A1F2F2" w:rsidR="00B47AC2" w:rsidRDefault="00EF3604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Strong </w:t>
            </w:r>
            <w:r w:rsidR="00B47A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>leadership and people management skills</w:t>
            </w:r>
            <w:r w:rsidR="00A71E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that drives a </w:t>
            </w:r>
            <w:proofErr w:type="gramStart"/>
            <w:r w:rsidR="00A71EA8">
              <w:rPr>
                <w:rFonts w:ascii="Arial" w:eastAsia="Calibri" w:hAnsi="Arial" w:cs="Arial"/>
                <w:bCs/>
                <w:sz w:val="20"/>
                <w:szCs w:val="20"/>
              </w:rPr>
              <w:t>high performance</w:t>
            </w:r>
            <w:proofErr w:type="gramEnd"/>
            <w:r w:rsidR="00A71EA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culture</w:t>
            </w:r>
          </w:p>
          <w:p w14:paraId="6DD9C342" w14:textId="3DF22B6B" w:rsidR="00EF3604" w:rsidRPr="00305EFA" w:rsidRDefault="00B47AC2" w:rsidP="008A39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communication and stakeholder engagement skills</w:t>
            </w:r>
            <w:r w:rsidR="008A39C2">
              <w:rPr>
                <w:rFonts w:ascii="Arial" w:eastAsia="Calibri" w:hAnsi="Arial" w:cs="Arial"/>
                <w:bCs/>
                <w:sz w:val="20"/>
                <w:szCs w:val="20"/>
              </w:rPr>
              <w:t>, with the ability to vary methods and engage colleagues at all levels, in an impactful way</w:t>
            </w:r>
            <w:r w:rsidR="008A39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624BD20" w14:textId="456264AF" w:rsidR="00EF3604" w:rsidRPr="00B47AC2" w:rsidRDefault="00B47AC2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Ability to manage change and lead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transformation initiatives</w:t>
            </w:r>
          </w:p>
          <w:p w14:paraId="57581B05" w14:textId="2234B4C7" w:rsidR="00EF3604" w:rsidRPr="00B47AC2" w:rsidRDefault="00DB6736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H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ighly analytical, excellent problem solver, detail oriented</w:t>
            </w:r>
            <w:r w:rsidR="008452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to be able to analyse complex, </w:t>
            </w:r>
            <w:proofErr w:type="spellStart"/>
            <w:r w:rsidR="00845267">
              <w:rPr>
                <w:rFonts w:ascii="Arial" w:eastAsia="Calibri" w:hAnsi="Arial" w:cs="Arial"/>
                <w:bCs/>
                <w:sz w:val="20"/>
                <w:szCs w:val="20"/>
              </w:rPr>
              <w:t>multi source</w:t>
            </w:r>
            <w:proofErr w:type="spellEnd"/>
            <w:r w:rsidR="008452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data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62B181" w14:textId="66ECC145" w:rsidR="00C45A97" w:rsidRPr="00C45A97" w:rsidRDefault="00AA39CE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Highly organised,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resilient and agile, being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able to deal effectively with competing priorities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fast paced</w:t>
            </w:r>
            <w:proofErr w:type="gram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operational environment</w:t>
            </w:r>
            <w:r w:rsidRPr="00B47AC2" w:rsidDel="00AA39C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C45A97" w:rsidRPr="00C45A97">
              <w:rPr>
                <w:rFonts w:ascii="Arial" w:hAnsi="Arial" w:cs="Arial"/>
                <w:sz w:val="20"/>
                <w:szCs w:val="20"/>
              </w:rPr>
              <w:t>Member-focused with a commitment to fairness and quality outcomes</w:t>
            </w:r>
            <w:r>
              <w:rPr>
                <w:rFonts w:ascii="Arial" w:hAnsi="Arial" w:cs="Arial"/>
                <w:sz w:val="20"/>
                <w:szCs w:val="20"/>
              </w:rPr>
              <w:t>, evidence through proven results</w:t>
            </w:r>
          </w:p>
          <w:p w14:paraId="12F9FD93" w14:textId="19C42BD0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Collaborative and inclusive leadership style</w:t>
            </w:r>
          </w:p>
          <w:p w14:paraId="1B81A647" w14:textId="4DE46B4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Results-driven with a continuous improvement mindset</w:t>
            </w:r>
          </w:p>
          <w:p w14:paraId="109E0EA7" w14:textId="104EE9B6" w:rsidR="00BE01EF" w:rsidRPr="00B47AC2" w:rsidRDefault="005E30DA" w:rsidP="00305EF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manage service through </w:t>
            </w:r>
            <w:r w:rsidR="009B2D10">
              <w:rPr>
                <w:rFonts w:ascii="Arial" w:hAnsi="Arial" w:cs="Arial"/>
                <w:sz w:val="20"/>
                <w:szCs w:val="20"/>
              </w:rPr>
              <w:t>third party contracts</w:t>
            </w:r>
          </w:p>
        </w:tc>
        <w:tc>
          <w:tcPr>
            <w:tcW w:w="2818" w:type="dxa"/>
          </w:tcPr>
          <w:p w14:paraId="0F34CC33" w14:textId="25CFB5A7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hAnsi="Arial" w:cs="Arial"/>
                <w:sz w:val="20"/>
                <w:szCs w:val="20"/>
              </w:rPr>
              <w:lastRenderedPageBreak/>
              <w:t xml:space="preserve">Proven experience in managing </w:t>
            </w:r>
            <w:r w:rsidR="00714480">
              <w:rPr>
                <w:rFonts w:ascii="Arial" w:hAnsi="Arial" w:cs="Arial"/>
                <w:sz w:val="20"/>
                <w:szCs w:val="20"/>
              </w:rPr>
              <w:t xml:space="preserve">large </w:t>
            </w:r>
            <w:proofErr w:type="spellStart"/>
            <w:r w:rsidR="00714480">
              <w:rPr>
                <w:rFonts w:ascii="Arial" w:hAnsi="Arial" w:cs="Arial"/>
                <w:sz w:val="20"/>
                <w:szCs w:val="20"/>
              </w:rPr>
              <w:t>multi channel</w:t>
            </w:r>
            <w:proofErr w:type="spellEnd"/>
            <w:r w:rsidR="00714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AC2">
              <w:rPr>
                <w:rFonts w:ascii="Arial" w:hAnsi="Arial" w:cs="Arial"/>
                <w:sz w:val="20"/>
                <w:szCs w:val="20"/>
              </w:rPr>
              <w:t>contact centre or service operations</w:t>
            </w:r>
          </w:p>
          <w:p w14:paraId="118DC944" w14:textId="32190600" w:rsidR="00714480" w:rsidRPr="00B47AC2" w:rsidRDefault="00714480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and strong track record of developing high performing teams by leading through others, including developing, motivating and effectively performance managing team members</w:t>
            </w:r>
          </w:p>
          <w:p w14:paraId="6DA0CA28" w14:textId="25CEE75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Analytical mindset with experience using </w:t>
            </w:r>
            <w:r w:rsidR="008A39C2">
              <w:rPr>
                <w:rFonts w:ascii="Arial" w:hAnsi="Arial" w:cs="Arial"/>
                <w:sz w:val="20"/>
                <w:szCs w:val="20"/>
              </w:rPr>
              <w:t xml:space="preserve">complex </w:t>
            </w:r>
            <w:r>
              <w:rPr>
                <w:rFonts w:ascii="Arial" w:hAnsi="Arial" w:cs="Arial"/>
                <w:sz w:val="20"/>
                <w:szCs w:val="20"/>
              </w:rPr>
              <w:t>data to drive decisions and improvements</w:t>
            </w:r>
          </w:p>
          <w:p w14:paraId="1F3C1543" w14:textId="52C7DF56" w:rsidR="00B47AC2" w:rsidRP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with workforce management and other key service systems</w:t>
            </w:r>
          </w:p>
          <w:p w14:paraId="7D5B675C" w14:textId="77777777" w:rsidR="00C7301C" w:rsidRPr="00B47AC2" w:rsidRDefault="00C7301C" w:rsidP="00C7301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Experience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evidence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of driving and delivering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large, mid and small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change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effectively, resulting in improved colleague engagement and operational efficiency</w:t>
            </w:r>
          </w:p>
          <w:p w14:paraId="0C867054" w14:textId="5E847282" w:rsidR="00C7301C" w:rsidRDefault="00C7301C" w:rsidP="00863B4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Proven experience in </w:t>
            </w:r>
            <w:r w:rsidR="002920D1">
              <w:rPr>
                <w:rFonts w:ascii="Arial" w:hAnsi="Arial" w:cs="Arial"/>
                <w:sz w:val="20"/>
                <w:szCs w:val="20"/>
              </w:rPr>
              <w:t>implementing multi-channel digital solutions to member journeys</w:t>
            </w:r>
          </w:p>
          <w:p w14:paraId="27BB302F" w14:textId="77777777" w:rsidR="00586697" w:rsidRDefault="00586697" w:rsidP="00586697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a broad range of qualitative and quantitative research and data to drive decision making and performance, turning this into tangible action</w:t>
            </w:r>
          </w:p>
          <w:p w14:paraId="0159530C" w14:textId="77777777" w:rsidR="00875DFA" w:rsidRDefault="00875DFA" w:rsidP="00875DF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service delivered through 3</w:t>
            </w:r>
            <w:r w:rsidRPr="00305EFA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suppliers and contracts</w:t>
            </w:r>
          </w:p>
          <w:p w14:paraId="4539BB41" w14:textId="77777777" w:rsidR="00586697" w:rsidRPr="00585525" w:rsidRDefault="00586697" w:rsidP="00863B4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</w:p>
          <w:p w14:paraId="513BE3B5" w14:textId="77777777" w:rsidR="00863B4D" w:rsidRPr="00B47AC2" w:rsidRDefault="00863B4D" w:rsidP="00863B4D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1AA4E906" w14:textId="77777777" w:rsidR="00BE01EF" w:rsidRPr="00682B78" w:rsidRDefault="00BE01EF" w:rsidP="002D067B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1EF" w:rsidRPr="00682B78" w14:paraId="6D2B9F23" w14:textId="77777777" w:rsidTr="00C45A9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</w:tcPr>
          <w:p w14:paraId="16CCA0ED" w14:textId="7A7ACFD4" w:rsidR="00C45A97" w:rsidRPr="00C45A97" w:rsidRDefault="00C45A97" w:rsidP="00C45A97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Professional certifications in service management, leadership, or continuous improvement (e.g., ILM, Lean Six Sigma) are desirable</w:t>
            </w:r>
          </w:p>
          <w:p w14:paraId="2F7937A5" w14:textId="2B430BE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3909832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06BF" w14:textId="77777777" w:rsidR="00821B1F" w:rsidRDefault="00821B1F" w:rsidP="004020D9">
      <w:pPr>
        <w:spacing w:after="0" w:line="240" w:lineRule="auto"/>
      </w:pPr>
      <w:r>
        <w:separator/>
      </w:r>
    </w:p>
  </w:endnote>
  <w:endnote w:type="continuationSeparator" w:id="0">
    <w:p w14:paraId="5C376070" w14:textId="77777777" w:rsidR="00821B1F" w:rsidRDefault="00821B1F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2EF9" w14:textId="77777777" w:rsidR="00821B1F" w:rsidRDefault="00821B1F" w:rsidP="004020D9">
      <w:pPr>
        <w:spacing w:after="0" w:line="240" w:lineRule="auto"/>
      </w:pPr>
      <w:r>
        <w:separator/>
      </w:r>
    </w:p>
  </w:footnote>
  <w:footnote w:type="continuationSeparator" w:id="0">
    <w:p w14:paraId="5B4137F0" w14:textId="77777777" w:rsidR="00821B1F" w:rsidRDefault="00821B1F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E6C" w14:textId="77777777" w:rsidR="003A500C" w:rsidRDefault="003A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AEA" w14:textId="77777777" w:rsidR="003A500C" w:rsidRDefault="003A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6"/>
  </w:num>
  <w:num w:numId="2" w16cid:durableId="1558474944">
    <w:abstractNumId w:val="0"/>
  </w:num>
  <w:num w:numId="3" w16cid:durableId="2034382179">
    <w:abstractNumId w:val="11"/>
  </w:num>
  <w:num w:numId="4" w16cid:durableId="2064064650">
    <w:abstractNumId w:val="7"/>
  </w:num>
  <w:num w:numId="5" w16cid:durableId="1214972326">
    <w:abstractNumId w:val="4"/>
  </w:num>
  <w:num w:numId="6" w16cid:durableId="1851288215">
    <w:abstractNumId w:val="18"/>
  </w:num>
  <w:num w:numId="7" w16cid:durableId="1068261711">
    <w:abstractNumId w:val="15"/>
  </w:num>
  <w:num w:numId="8" w16cid:durableId="655305644">
    <w:abstractNumId w:val="3"/>
  </w:num>
  <w:num w:numId="9" w16cid:durableId="407076630">
    <w:abstractNumId w:val="8"/>
  </w:num>
  <w:num w:numId="10" w16cid:durableId="714041377">
    <w:abstractNumId w:val="6"/>
  </w:num>
  <w:num w:numId="11" w16cid:durableId="1411082662">
    <w:abstractNumId w:val="14"/>
  </w:num>
  <w:num w:numId="12" w16cid:durableId="426468710">
    <w:abstractNumId w:val="10"/>
  </w:num>
  <w:num w:numId="13" w16cid:durableId="965700546">
    <w:abstractNumId w:val="13"/>
  </w:num>
  <w:num w:numId="14" w16cid:durableId="748966327">
    <w:abstractNumId w:val="2"/>
  </w:num>
  <w:num w:numId="15" w16cid:durableId="443040229">
    <w:abstractNumId w:val="12"/>
  </w:num>
  <w:num w:numId="16" w16cid:durableId="833961144">
    <w:abstractNumId w:val="17"/>
  </w:num>
  <w:num w:numId="17" w16cid:durableId="1496262608">
    <w:abstractNumId w:val="5"/>
  </w:num>
  <w:num w:numId="18" w16cid:durableId="828717484">
    <w:abstractNumId w:val="9"/>
  </w:num>
  <w:num w:numId="19" w16cid:durableId="116308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44EDF"/>
    <w:rsid w:val="00055314"/>
    <w:rsid w:val="000D2AB0"/>
    <w:rsid w:val="000F63B0"/>
    <w:rsid w:val="00102654"/>
    <w:rsid w:val="00120F5F"/>
    <w:rsid w:val="00171788"/>
    <w:rsid w:val="0018266D"/>
    <w:rsid w:val="001A3211"/>
    <w:rsid w:val="001D6D6E"/>
    <w:rsid w:val="0027215D"/>
    <w:rsid w:val="002920D1"/>
    <w:rsid w:val="00292FE2"/>
    <w:rsid w:val="002C2C1E"/>
    <w:rsid w:val="002D067B"/>
    <w:rsid w:val="002E5A17"/>
    <w:rsid w:val="00300A0D"/>
    <w:rsid w:val="00305EFA"/>
    <w:rsid w:val="00313E91"/>
    <w:rsid w:val="00380C0C"/>
    <w:rsid w:val="003A500C"/>
    <w:rsid w:val="003B04B1"/>
    <w:rsid w:val="003C6FA7"/>
    <w:rsid w:val="004020D9"/>
    <w:rsid w:val="00430EED"/>
    <w:rsid w:val="00483FDE"/>
    <w:rsid w:val="004D2290"/>
    <w:rsid w:val="004E6CA8"/>
    <w:rsid w:val="00536600"/>
    <w:rsid w:val="00562802"/>
    <w:rsid w:val="00564205"/>
    <w:rsid w:val="0056681C"/>
    <w:rsid w:val="00586697"/>
    <w:rsid w:val="005A0209"/>
    <w:rsid w:val="005E30DA"/>
    <w:rsid w:val="005E70A7"/>
    <w:rsid w:val="005F7F02"/>
    <w:rsid w:val="00612098"/>
    <w:rsid w:val="00621FE2"/>
    <w:rsid w:val="0064230B"/>
    <w:rsid w:val="00682B78"/>
    <w:rsid w:val="006A3B11"/>
    <w:rsid w:val="006A5A55"/>
    <w:rsid w:val="00714480"/>
    <w:rsid w:val="00716235"/>
    <w:rsid w:val="007511E9"/>
    <w:rsid w:val="00754E29"/>
    <w:rsid w:val="00761467"/>
    <w:rsid w:val="007A5D1B"/>
    <w:rsid w:val="007C150D"/>
    <w:rsid w:val="007D64D4"/>
    <w:rsid w:val="00821B1F"/>
    <w:rsid w:val="008329CB"/>
    <w:rsid w:val="00845267"/>
    <w:rsid w:val="00860612"/>
    <w:rsid w:val="00861A9C"/>
    <w:rsid w:val="00863B4D"/>
    <w:rsid w:val="00865D1F"/>
    <w:rsid w:val="00875DFA"/>
    <w:rsid w:val="008A39C2"/>
    <w:rsid w:val="008C3748"/>
    <w:rsid w:val="008D11F5"/>
    <w:rsid w:val="008D1E4B"/>
    <w:rsid w:val="00901DF4"/>
    <w:rsid w:val="009153C2"/>
    <w:rsid w:val="00950B64"/>
    <w:rsid w:val="0096134E"/>
    <w:rsid w:val="009638DB"/>
    <w:rsid w:val="00972877"/>
    <w:rsid w:val="009A2771"/>
    <w:rsid w:val="009B2D10"/>
    <w:rsid w:val="009D2504"/>
    <w:rsid w:val="009D25B4"/>
    <w:rsid w:val="009E0E2B"/>
    <w:rsid w:val="00A71EA8"/>
    <w:rsid w:val="00A8314A"/>
    <w:rsid w:val="00AA39CE"/>
    <w:rsid w:val="00AF1F7F"/>
    <w:rsid w:val="00B019F4"/>
    <w:rsid w:val="00B21CAF"/>
    <w:rsid w:val="00B47AC2"/>
    <w:rsid w:val="00B963D8"/>
    <w:rsid w:val="00B96B2A"/>
    <w:rsid w:val="00BA1566"/>
    <w:rsid w:val="00BE01EF"/>
    <w:rsid w:val="00C01504"/>
    <w:rsid w:val="00C45A97"/>
    <w:rsid w:val="00C7301C"/>
    <w:rsid w:val="00D5552A"/>
    <w:rsid w:val="00D66A41"/>
    <w:rsid w:val="00D71556"/>
    <w:rsid w:val="00D7541A"/>
    <w:rsid w:val="00DB4110"/>
    <w:rsid w:val="00DB6736"/>
    <w:rsid w:val="00DC5081"/>
    <w:rsid w:val="00DE0825"/>
    <w:rsid w:val="00DE2196"/>
    <w:rsid w:val="00E26285"/>
    <w:rsid w:val="00E307B3"/>
    <w:rsid w:val="00E7462C"/>
    <w:rsid w:val="00EC5D89"/>
    <w:rsid w:val="00ED1B65"/>
    <w:rsid w:val="00EE0D7E"/>
    <w:rsid w:val="00EF3604"/>
    <w:rsid w:val="00F60980"/>
    <w:rsid w:val="00F85FCE"/>
    <w:rsid w:val="00FA5620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961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306B72"/>
    <w:rsid w:val="003C6FA7"/>
    <w:rsid w:val="004B22D4"/>
    <w:rsid w:val="007A5D1B"/>
    <w:rsid w:val="007D64D4"/>
    <w:rsid w:val="00950B64"/>
    <w:rsid w:val="009D25B4"/>
    <w:rsid w:val="00AF1F7F"/>
    <w:rsid w:val="00B019F4"/>
    <w:rsid w:val="00BC0178"/>
    <w:rsid w:val="00DB4110"/>
    <w:rsid w:val="00D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8F80196C6274A8C4E36055F32B4F7" ma:contentTypeVersion="3" ma:contentTypeDescription="Create a new document." ma:contentTypeScope="" ma:versionID="ffc3ee7f10943bde12401b6d7d336c12">
  <xsd:schema xmlns:xsd="http://www.w3.org/2001/XMLSchema" xmlns:xs="http://www.w3.org/2001/XMLSchema" xmlns:p="http://schemas.microsoft.com/office/2006/metadata/properties" xmlns:ns2="e140c3ea-c06b-4b99-9811-c38c7aba0cb7" targetNamespace="http://schemas.microsoft.com/office/2006/metadata/properties" ma:root="true" ma:fieldsID="a12b48c18778a20924cb12383580dba6" ns2:_="">
    <xsd:import namespace="e140c3ea-c06b-4b99-9811-c38c7aba0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c3ea-c06b-4b99-9811-c38c7aba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F3B25-8240-43DB-AA9B-3500C0457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EB027-EB74-49DA-BD51-E9E55080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c3ea-c06b-4b99-9811-c38c7aba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7625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Diane Beckett</cp:lastModifiedBy>
  <cp:revision>2</cp:revision>
  <dcterms:created xsi:type="dcterms:W3CDTF">2025-12-11T09:31:00Z</dcterms:created>
  <dcterms:modified xsi:type="dcterms:W3CDTF">2025-12-11T09:31:00Z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0x0101008C58F80196C6274A8C4E36055F32B4F7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</Properties>
</file>