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1EA8DA7A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33916212" w:rsidR="004020D9" w:rsidRPr="0072317C" w:rsidRDefault="7A4B0BCA" w:rsidP="1EA8DA7A">
            <w:pPr>
              <w:rPr>
                <w:rFonts w:ascii="Arial" w:hAnsi="Arial" w:cs="Arial"/>
                <w:sz w:val="20"/>
                <w:szCs w:val="20"/>
              </w:rPr>
            </w:pPr>
            <w:r w:rsidRPr="1EA8DA7A">
              <w:rPr>
                <w:rFonts w:ascii="Arial" w:hAnsi="Arial" w:cs="Arial"/>
                <w:sz w:val="20"/>
                <w:szCs w:val="20"/>
              </w:rPr>
              <w:t>Governance</w:t>
            </w:r>
            <w:r w:rsidR="0CB84C99" w:rsidRPr="1EA8D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444">
              <w:rPr>
                <w:rFonts w:ascii="Arial" w:hAnsi="Arial" w:cs="Arial"/>
                <w:sz w:val="20"/>
                <w:szCs w:val="20"/>
              </w:rPr>
              <w:t xml:space="preserve">&amp; Assurance </w:t>
            </w:r>
            <w:r w:rsidR="0CB84C99" w:rsidRPr="1EA8DA7A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656A9F25" w:rsidR="004020D9" w:rsidRPr="00324FD1" w:rsidRDefault="00324FD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24FD1">
              <w:rPr>
                <w:rFonts w:ascii="Arial" w:hAnsi="Arial" w:cs="Arial"/>
                <w:iCs/>
                <w:sz w:val="20"/>
                <w:szCs w:val="20"/>
              </w:rPr>
              <w:t>Director of Business Services &amp; Governance</w:t>
            </w:r>
          </w:p>
        </w:tc>
      </w:tr>
      <w:tr w:rsidR="004020D9" w:rsidRPr="00682B78" w14:paraId="640738DF" w14:textId="77777777" w:rsidTr="1EA8DA7A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643D6E15" w:rsidR="004020D9" w:rsidRPr="00324FD1" w:rsidRDefault="007F2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35F45AD0" w:rsidR="004020D9" w:rsidRPr="00682B78" w:rsidRDefault="00563C64">
            <w:pPr>
              <w:rPr>
                <w:rFonts w:ascii="Arial" w:hAnsi="Arial" w:cs="Arial"/>
                <w:sz w:val="20"/>
                <w:szCs w:val="20"/>
              </w:rPr>
            </w:pPr>
            <w:r w:rsidRPr="00324FD1">
              <w:rPr>
                <w:rFonts w:ascii="Arial" w:hAnsi="Arial" w:cs="Arial"/>
                <w:iCs/>
                <w:sz w:val="20"/>
                <w:szCs w:val="20"/>
              </w:rPr>
              <w:t>Business Services &amp; Governance</w:t>
            </w:r>
          </w:p>
        </w:tc>
      </w:tr>
      <w:tr w:rsidR="00682B78" w:rsidRPr="00682B78" w14:paraId="0E488215" w14:textId="77777777" w:rsidTr="1EA8DA7A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15B202F1" w:rsidR="0018266D" w:rsidRPr="00B00B67" w:rsidRDefault="007B1CA3" w:rsidP="0C3A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2185E754" w:rsidR="00682B78" w:rsidRPr="00682B78" w:rsidRDefault="07F38113" w:rsidP="0C3A4CB7">
            <w:r w:rsidRPr="002C7E5C">
              <w:rPr>
                <w:rFonts w:ascii="Arial" w:hAnsi="Arial" w:cs="Arial"/>
                <w:sz w:val="20"/>
                <w:szCs w:val="20"/>
              </w:rPr>
              <w:t>Global Operations</w:t>
            </w:r>
          </w:p>
        </w:tc>
      </w:tr>
      <w:tr w:rsidR="00682B78" w:rsidRPr="00682B78" w14:paraId="767794F8" w14:textId="77777777" w:rsidTr="1EA8DA7A">
        <w:trPr>
          <w:trHeight w:val="112"/>
        </w:trPr>
        <w:tc>
          <w:tcPr>
            <w:tcW w:w="1786" w:type="dxa"/>
            <w:vMerge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49341C70" w14:textId="303DB87D" w:rsidR="00682B78" w:rsidRDefault="007B1CA3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207D216F" w:rsidRPr="1EA8DA7A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7B5CF13D" w:rsidRPr="1EA8D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B5CF13D" w:rsidRPr="1EA8DA7A">
              <w:rPr>
                <w:rFonts w:ascii="Arial" w:hAnsi="Arial" w:cs="Arial"/>
                <w:sz w:val="16"/>
                <w:szCs w:val="16"/>
              </w:rPr>
              <w:t>(total in team, not just direct reports)</w:t>
            </w:r>
          </w:p>
          <w:p w14:paraId="6319F923" w14:textId="24D82BF1" w:rsidR="00682B78" w:rsidRPr="00682B78" w:rsidRDefault="207D216F" w:rsidP="0C3A4CB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1EA8DA7A">
              <w:rPr>
                <w:rFonts w:ascii="Arial" w:hAnsi="Arial" w:cs="Arial"/>
                <w:sz w:val="20"/>
                <w:szCs w:val="20"/>
              </w:rPr>
              <w:t>£</w:t>
            </w:r>
            <w:r w:rsidR="271115C2" w:rsidRPr="1EA8DA7A">
              <w:rPr>
                <w:rFonts w:ascii="Arial" w:hAnsi="Arial" w:cs="Arial"/>
                <w:sz w:val="20"/>
                <w:szCs w:val="20"/>
              </w:rPr>
              <w:t>0</w:t>
            </w:r>
            <w:r w:rsidRPr="1EA8D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B5CF13D" w:rsidRPr="1EA8DA7A">
              <w:rPr>
                <w:rFonts w:ascii="Arial" w:hAnsi="Arial" w:cs="Arial"/>
                <w:sz w:val="20"/>
                <w:szCs w:val="20"/>
              </w:rPr>
              <w:t>b</w:t>
            </w:r>
            <w:r w:rsidRPr="1EA8DA7A">
              <w:rPr>
                <w:rFonts w:ascii="Arial" w:hAnsi="Arial" w:cs="Arial"/>
                <w:sz w:val="20"/>
                <w:szCs w:val="20"/>
              </w:rPr>
              <w:t>udget</w:t>
            </w:r>
          </w:p>
        </w:tc>
      </w:tr>
      <w:tr w:rsidR="00682B78" w:rsidRPr="00682B78" w14:paraId="337C6880" w14:textId="77777777" w:rsidTr="1EA8DA7A">
        <w:tc>
          <w:tcPr>
            <w:tcW w:w="1786" w:type="dxa"/>
            <w:vMerge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339FD0BA" w:rsid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C3A4CB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1EA8DA7A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18DB2352" w:rsidR="009E0E2B" w:rsidRPr="007B1CA3" w:rsidRDefault="007B1CA3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CA3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  <w:r w:rsidR="009E0E2B" w:rsidRPr="007B1CA3">
              <w:rPr>
                <w:rFonts w:ascii="Arial" w:hAnsi="Arial" w:cs="Arial"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03B6234A" w:rsidR="009E0E2B" w:rsidRPr="00DC4444" w:rsidRDefault="00DC4444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C4444">
              <w:rPr>
                <w:rFonts w:ascii="Arial" w:hAnsi="Arial" w:cs="Arial"/>
                <w:iCs/>
                <w:sz w:val="20"/>
                <w:szCs w:val="20"/>
              </w:rPr>
              <w:t>Group Corporate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1EA8DA7A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1EA8DA7A">
        <w:trPr>
          <w:trHeight w:val="978"/>
        </w:trPr>
        <w:tc>
          <w:tcPr>
            <w:tcW w:w="9016" w:type="dxa"/>
          </w:tcPr>
          <w:p w14:paraId="0BA16222" w14:textId="4841EE2C" w:rsidR="00666A6B" w:rsidRDefault="7C177573" w:rsidP="1EA8DA7A">
            <w:pPr>
              <w:rPr>
                <w:rFonts w:ascii="Arial" w:hAnsi="Arial" w:cs="Arial"/>
                <w:sz w:val="20"/>
                <w:szCs w:val="20"/>
              </w:rPr>
            </w:pPr>
            <w:r w:rsidRPr="1EA8DA7A">
              <w:rPr>
                <w:rFonts w:ascii="Arial" w:hAnsi="Arial" w:cs="Arial"/>
                <w:sz w:val="20"/>
                <w:szCs w:val="20"/>
              </w:rPr>
              <w:t>The Gove</w:t>
            </w:r>
            <w:r w:rsidR="408BFA06" w:rsidRPr="1EA8DA7A">
              <w:rPr>
                <w:rFonts w:ascii="Arial" w:hAnsi="Arial" w:cs="Arial"/>
                <w:sz w:val="20"/>
                <w:szCs w:val="20"/>
              </w:rPr>
              <w:t>rnance</w:t>
            </w:r>
            <w:r w:rsidR="7EAD8BD8" w:rsidRPr="1EA8D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ECD">
              <w:rPr>
                <w:rFonts w:ascii="Arial" w:hAnsi="Arial" w:cs="Arial"/>
                <w:sz w:val="20"/>
                <w:szCs w:val="20"/>
              </w:rPr>
              <w:t xml:space="preserve">&amp; Assurance </w:t>
            </w:r>
            <w:r w:rsidR="7EAD8BD8" w:rsidRPr="1EA8DA7A">
              <w:rPr>
                <w:rFonts w:ascii="Arial" w:hAnsi="Arial" w:cs="Arial"/>
                <w:sz w:val="20"/>
                <w:szCs w:val="20"/>
              </w:rPr>
              <w:t>Lead</w:t>
            </w:r>
            <w:r w:rsidR="408BFA06" w:rsidRPr="1EA8DA7A">
              <w:rPr>
                <w:rFonts w:ascii="Arial" w:hAnsi="Arial" w:cs="Arial"/>
                <w:sz w:val="20"/>
                <w:szCs w:val="20"/>
              </w:rPr>
              <w:t xml:space="preserve"> provides independent assurance, governance and oversight across the </w:t>
            </w:r>
            <w:r w:rsidR="7653FCD3" w:rsidRPr="1EA8DA7A">
              <w:rPr>
                <w:rFonts w:ascii="Arial" w:hAnsi="Arial" w:cs="Arial"/>
                <w:sz w:val="20"/>
                <w:szCs w:val="20"/>
              </w:rPr>
              <w:t>Operations</w:t>
            </w:r>
            <w:r w:rsidR="408BFA06" w:rsidRPr="1EA8DA7A">
              <w:rPr>
                <w:rFonts w:ascii="Arial" w:hAnsi="Arial" w:cs="Arial"/>
                <w:sz w:val="20"/>
                <w:szCs w:val="20"/>
              </w:rPr>
              <w:t xml:space="preserve"> Directorate to ensure</w:t>
            </w:r>
            <w:r w:rsidR="11630A82" w:rsidRPr="1EA8DA7A">
              <w:rPr>
                <w:rFonts w:ascii="Arial" w:hAnsi="Arial" w:cs="Arial"/>
                <w:sz w:val="20"/>
                <w:szCs w:val="20"/>
              </w:rPr>
              <w:t xml:space="preserve"> operational activities a</w:t>
            </w:r>
            <w:r w:rsidR="30E43C0A" w:rsidRPr="1EA8DA7A">
              <w:rPr>
                <w:rFonts w:ascii="Arial" w:hAnsi="Arial" w:cs="Arial"/>
                <w:sz w:val="20"/>
                <w:szCs w:val="20"/>
              </w:rPr>
              <w:t>r</w:t>
            </w:r>
            <w:r w:rsidR="11630A82" w:rsidRPr="1EA8DA7A">
              <w:rPr>
                <w:rFonts w:ascii="Arial" w:hAnsi="Arial" w:cs="Arial"/>
                <w:sz w:val="20"/>
                <w:szCs w:val="20"/>
              </w:rPr>
              <w:t>e well controlled, compliant</w:t>
            </w:r>
            <w:r w:rsidR="7E7DC18B" w:rsidRPr="1EA8DA7A">
              <w:rPr>
                <w:rFonts w:ascii="Arial" w:hAnsi="Arial" w:cs="Arial"/>
                <w:sz w:val="20"/>
                <w:szCs w:val="20"/>
              </w:rPr>
              <w:t>,</w:t>
            </w:r>
            <w:r w:rsidR="11630A82" w:rsidRPr="1EA8DA7A">
              <w:rPr>
                <w:rFonts w:ascii="Arial" w:hAnsi="Arial" w:cs="Arial"/>
                <w:sz w:val="20"/>
                <w:szCs w:val="20"/>
              </w:rPr>
              <w:t xml:space="preserve"> and delivered to the required standards.</w:t>
            </w:r>
          </w:p>
          <w:p w14:paraId="7B1FD8D0" w14:textId="77777777" w:rsidR="00666A6B" w:rsidRDefault="00666A6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1552B2" w14:textId="19833F60" w:rsidR="00B07716" w:rsidRPr="00EA52E4" w:rsidRDefault="00666A6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role is responsible for establishing and maintaining </w:t>
            </w:r>
            <w:r w:rsidR="00423227">
              <w:rPr>
                <w:rFonts w:ascii="Arial" w:hAnsi="Arial" w:cs="Arial"/>
                <w:iCs/>
                <w:sz w:val="20"/>
                <w:szCs w:val="20"/>
              </w:rPr>
              <w:t>assurance frameworks, overseeing risk and control management</w:t>
            </w:r>
            <w:r w:rsidR="00103188">
              <w:rPr>
                <w:rFonts w:ascii="Arial" w:hAnsi="Arial" w:cs="Arial"/>
                <w:iCs/>
                <w:sz w:val="20"/>
                <w:szCs w:val="20"/>
              </w:rPr>
              <w:t xml:space="preserve">, and providing confidence to senior </w:t>
            </w:r>
            <w:r w:rsidR="00CE6887">
              <w:rPr>
                <w:rFonts w:ascii="Arial" w:hAnsi="Arial" w:cs="Arial"/>
                <w:iCs/>
                <w:sz w:val="20"/>
                <w:szCs w:val="20"/>
              </w:rPr>
              <w:t>leaders that policies, processes and controls are effective. Through audit co</w:t>
            </w:r>
            <w:r w:rsidR="009830B1">
              <w:rPr>
                <w:rFonts w:ascii="Arial" w:hAnsi="Arial" w:cs="Arial"/>
                <w:iCs/>
                <w:sz w:val="20"/>
                <w:szCs w:val="20"/>
              </w:rPr>
              <w:t>ordination, regulatory monitoring, and data quality oversight</w:t>
            </w:r>
            <w:r w:rsidR="00E47997">
              <w:rPr>
                <w:rFonts w:ascii="Arial" w:hAnsi="Arial" w:cs="Arial"/>
                <w:iCs/>
                <w:sz w:val="20"/>
                <w:szCs w:val="20"/>
              </w:rPr>
              <w:t>, the role supports high-quality outcomes, learning, and continuous improvement</w:t>
            </w:r>
            <w:r w:rsidR="007E5EEC">
              <w:rPr>
                <w:rFonts w:ascii="Arial" w:hAnsi="Arial" w:cs="Arial"/>
                <w:iCs/>
                <w:sz w:val="20"/>
                <w:szCs w:val="20"/>
              </w:rPr>
              <w:t xml:space="preserve"> across operations. 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514CED6F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FA04E90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2C7E5C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73EEC335" w14:textId="791BC97D" w:rsidR="00D541E1" w:rsidRDefault="00533E6C" w:rsidP="00F609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the assurance and governance function for the </w:t>
            </w:r>
            <w:r w:rsidR="007F24E9">
              <w:rPr>
                <w:rFonts w:ascii="Arial" w:hAnsi="Arial" w:cs="Arial"/>
                <w:sz w:val="20"/>
                <w:szCs w:val="20"/>
              </w:rPr>
              <w:t>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Directorate</w:t>
            </w:r>
            <w:r w:rsidR="008924EE">
              <w:rPr>
                <w:rFonts w:ascii="Arial" w:hAnsi="Arial" w:cs="Arial"/>
                <w:sz w:val="20"/>
                <w:szCs w:val="20"/>
              </w:rPr>
              <w:t>, providing independent oversight and constructive challenge.</w:t>
            </w:r>
          </w:p>
          <w:p w14:paraId="59831C18" w14:textId="31F32C9F" w:rsidR="008924EE" w:rsidRDefault="0012020B" w:rsidP="00F609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</w:t>
            </w:r>
            <w:r w:rsidR="008924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maintain a clear assurance </w:t>
            </w:r>
            <w:r w:rsidR="001D0533">
              <w:rPr>
                <w:rFonts w:ascii="Arial" w:hAnsi="Arial" w:cs="Arial"/>
                <w:sz w:val="20"/>
                <w:szCs w:val="20"/>
              </w:rPr>
              <w:t>framework aligned to organisational and regulatory requirements.</w:t>
            </w:r>
          </w:p>
          <w:p w14:paraId="6C122A0A" w14:textId="1D296E1A" w:rsidR="00C75E19" w:rsidRPr="00292622" w:rsidRDefault="00F62611" w:rsidP="00F609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92622">
              <w:rPr>
                <w:rFonts w:ascii="Arial" w:hAnsi="Arial" w:cs="Arial"/>
                <w:sz w:val="20"/>
                <w:szCs w:val="20"/>
              </w:rPr>
              <w:t>Establish an</w:t>
            </w:r>
            <w:r w:rsidR="00C36BB2" w:rsidRPr="00292622">
              <w:rPr>
                <w:rFonts w:ascii="Arial" w:hAnsi="Arial" w:cs="Arial"/>
                <w:sz w:val="20"/>
                <w:szCs w:val="20"/>
              </w:rPr>
              <w:t>d maintain an</w:t>
            </w:r>
            <w:r w:rsidRPr="00292622">
              <w:rPr>
                <w:rFonts w:ascii="Arial" w:hAnsi="Arial" w:cs="Arial"/>
                <w:sz w:val="20"/>
                <w:szCs w:val="20"/>
              </w:rPr>
              <w:t xml:space="preserve"> Operations wide approach to </w:t>
            </w:r>
            <w:r w:rsidR="0011617E" w:rsidRPr="00292622">
              <w:rPr>
                <w:rFonts w:ascii="Arial" w:hAnsi="Arial" w:cs="Arial"/>
                <w:sz w:val="20"/>
                <w:szCs w:val="20"/>
              </w:rPr>
              <w:t xml:space="preserve">policy, framework, </w:t>
            </w:r>
            <w:r w:rsidR="00225FDC" w:rsidRPr="00292622">
              <w:rPr>
                <w:rFonts w:ascii="Arial" w:hAnsi="Arial" w:cs="Arial"/>
                <w:sz w:val="20"/>
                <w:szCs w:val="20"/>
              </w:rPr>
              <w:t xml:space="preserve">systems </w:t>
            </w:r>
            <w:r w:rsidR="0011617E" w:rsidRPr="00292622">
              <w:rPr>
                <w:rFonts w:ascii="Arial" w:hAnsi="Arial" w:cs="Arial"/>
                <w:sz w:val="20"/>
                <w:szCs w:val="20"/>
              </w:rPr>
              <w:t xml:space="preserve">and document governance </w:t>
            </w:r>
          </w:p>
          <w:p w14:paraId="534D8BF2" w14:textId="24A60CF6" w:rsidR="00D541E1" w:rsidRPr="00292622" w:rsidRDefault="003E0DAA" w:rsidP="00F609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92622">
              <w:rPr>
                <w:rFonts w:ascii="Arial" w:hAnsi="Arial" w:cs="Arial"/>
                <w:sz w:val="20"/>
                <w:szCs w:val="20"/>
              </w:rPr>
              <w:t>Act as a trusted advisor to the COO Senior Leadership Team</w:t>
            </w:r>
            <w:r w:rsidR="00097A21" w:rsidRPr="00292622">
              <w:rPr>
                <w:rFonts w:ascii="Arial" w:hAnsi="Arial" w:cs="Arial"/>
                <w:sz w:val="20"/>
                <w:szCs w:val="20"/>
              </w:rPr>
              <w:t xml:space="preserve"> on assurance, risk, and governance matters. </w:t>
            </w:r>
          </w:p>
          <w:p w14:paraId="26C15C65" w14:textId="3F4B1E29" w:rsidR="00D541E1" w:rsidRPr="00292622" w:rsidRDefault="00561A3A" w:rsidP="001133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92622">
              <w:rPr>
                <w:rFonts w:ascii="Arial" w:hAnsi="Arial" w:cs="Arial"/>
                <w:sz w:val="20"/>
                <w:szCs w:val="20"/>
              </w:rPr>
              <w:t>Actively p</w:t>
            </w:r>
            <w:r w:rsidR="007D221B" w:rsidRPr="00292622">
              <w:rPr>
                <w:rFonts w:ascii="Arial" w:hAnsi="Arial" w:cs="Arial"/>
                <w:sz w:val="20"/>
                <w:szCs w:val="20"/>
              </w:rPr>
              <w:t xml:space="preserve">romote a culture of accountability, quality, and continuous </w:t>
            </w:r>
            <w:r w:rsidR="0060467A" w:rsidRPr="00292622">
              <w:rPr>
                <w:rFonts w:ascii="Arial" w:hAnsi="Arial" w:cs="Arial"/>
                <w:sz w:val="20"/>
                <w:szCs w:val="20"/>
              </w:rPr>
              <w:t xml:space="preserve">improvement across operational teams. </w:t>
            </w: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C5D6B3" w14:textId="77777777" w:rsidR="00EC22B3" w:rsidRPr="003A72B1" w:rsidRDefault="00EC22B3" w:rsidP="00EC22B3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3A72B1">
              <w:rPr>
                <w:rFonts w:ascii="Arial" w:hAnsi="Arial" w:cs="Arial"/>
                <w:sz w:val="20"/>
                <w:szCs w:val="20"/>
              </w:rPr>
              <w:t>Delivery against SLAs and KPIs. </w:t>
            </w:r>
          </w:p>
          <w:p w14:paraId="44CA811F" w14:textId="77777777" w:rsidR="00EC22B3" w:rsidRPr="003A72B1" w:rsidRDefault="00EC22B3" w:rsidP="00EC22B3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3A72B1">
              <w:rPr>
                <w:rFonts w:ascii="Arial" w:hAnsi="Arial" w:cs="Arial"/>
                <w:sz w:val="20"/>
                <w:szCs w:val="20"/>
              </w:rPr>
              <w:t>Delivery of corporate strategic priorities vs plan. </w:t>
            </w:r>
          </w:p>
          <w:p w14:paraId="27C851EA" w14:textId="77777777" w:rsidR="00EC22B3" w:rsidRPr="003A72B1" w:rsidRDefault="00EC22B3" w:rsidP="00EC22B3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3A72B1">
              <w:rPr>
                <w:rFonts w:ascii="Arial" w:hAnsi="Arial" w:cs="Arial"/>
                <w:sz w:val="20"/>
                <w:szCs w:val="20"/>
              </w:rPr>
              <w:t>Stakeholder feedback. </w:t>
            </w:r>
          </w:p>
          <w:p w14:paraId="39D1A91B" w14:textId="77777777" w:rsidR="00D2120F" w:rsidRDefault="00EC22B3" w:rsidP="00F1235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3A72B1">
              <w:rPr>
                <w:rFonts w:ascii="Arial" w:hAnsi="Arial" w:cs="Arial"/>
                <w:sz w:val="20"/>
                <w:szCs w:val="20"/>
              </w:rPr>
              <w:t>Delivery of objectives</w:t>
            </w:r>
            <w:r w:rsidR="00D2120F" w:rsidRPr="00F123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6624BF" w14:textId="21C049BF" w:rsidR="004F1BC8" w:rsidRPr="00F12350" w:rsidRDefault="009F3CF1" w:rsidP="00F1235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9F3CF1">
              <w:rPr>
                <w:rFonts w:ascii="Arial" w:hAnsi="Arial" w:cs="Arial"/>
                <w:sz w:val="20"/>
                <w:szCs w:val="20"/>
              </w:rPr>
              <w:t>Effective assurance and governance across Operations including policies, frameworks and systems</w:t>
            </w: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F12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1E0E0603" w14:textId="15CABD56" w:rsidR="0060467A" w:rsidRDefault="00B500CB" w:rsidP="0075303E">
            <w:pPr>
              <w:pStyle w:val="ListParagraph"/>
              <w:numPr>
                <w:ilvl w:val="0"/>
                <w:numId w:val="7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value for money by ensuring robust</w:t>
            </w:r>
            <w:r w:rsidR="00B021AA">
              <w:rPr>
                <w:rFonts w:ascii="Arial" w:hAnsi="Arial" w:cs="Arial"/>
                <w:sz w:val="20"/>
                <w:szCs w:val="20"/>
              </w:rPr>
              <w:t xml:space="preserve"> controls and effective management of </w:t>
            </w:r>
            <w:r w:rsidR="001E6AD9">
              <w:rPr>
                <w:rFonts w:ascii="Arial" w:hAnsi="Arial" w:cs="Arial"/>
                <w:sz w:val="20"/>
                <w:szCs w:val="20"/>
              </w:rPr>
              <w:t xml:space="preserve">risk within </w:t>
            </w:r>
            <w:r w:rsidR="00C32B4C">
              <w:rPr>
                <w:rFonts w:ascii="Arial" w:hAnsi="Arial" w:cs="Arial"/>
                <w:sz w:val="20"/>
                <w:szCs w:val="20"/>
              </w:rPr>
              <w:t xml:space="preserve">operational activity. </w:t>
            </w:r>
          </w:p>
          <w:p w14:paraId="60C253A8" w14:textId="73543DDA" w:rsidR="005A4EDA" w:rsidRPr="006D207A" w:rsidRDefault="00C32B4C" w:rsidP="005A4ED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assurance activity relating to outsourced and third-</w:t>
            </w:r>
            <w:r w:rsidRPr="006D207A">
              <w:rPr>
                <w:rFonts w:ascii="Arial" w:hAnsi="Arial" w:cs="Arial"/>
                <w:sz w:val="20"/>
                <w:szCs w:val="20"/>
              </w:rPr>
              <w:t>party</w:t>
            </w:r>
            <w:r w:rsidR="00F273F4" w:rsidRPr="006D207A">
              <w:rPr>
                <w:rFonts w:ascii="Arial" w:hAnsi="Arial" w:cs="Arial"/>
                <w:sz w:val="20"/>
                <w:szCs w:val="20"/>
              </w:rPr>
              <w:t xml:space="preserve"> arrangements where relevant. </w:t>
            </w:r>
          </w:p>
          <w:p w14:paraId="7B68C3E5" w14:textId="54F037FE" w:rsidR="00562802" w:rsidRPr="006D207A" w:rsidRDefault="00562802" w:rsidP="0056280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D207A">
              <w:rPr>
                <w:rFonts w:ascii="Arial" w:hAnsi="Arial" w:cs="Arial"/>
                <w:sz w:val="20"/>
                <w:szCs w:val="20"/>
              </w:rPr>
              <w:t>Support the management of organisational budgets and facilitate cost efficiency initiatives, as required.</w:t>
            </w:r>
          </w:p>
          <w:p w14:paraId="1A2E51EF" w14:textId="6B64E681" w:rsidR="000A7E78" w:rsidRPr="000A7E78" w:rsidRDefault="00562802" w:rsidP="001B17C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D207A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policy, </w:t>
            </w:r>
            <w:r w:rsidR="000A7E78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6D207A">
              <w:rPr>
                <w:rFonts w:ascii="Arial" w:eastAsia="Calibri" w:hAnsi="Arial" w:cs="Arial"/>
                <w:sz w:val="20"/>
                <w:szCs w:val="20"/>
              </w:rPr>
              <w:t xml:space="preserve"> any variance to policy or budget is appropriately reported and escalated</w:t>
            </w:r>
            <w:r w:rsidR="006D207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63C77B20" w14:textId="77777777" w:rsidR="00682B78" w:rsidRPr="00166A76" w:rsidRDefault="00682B78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66A7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7E09F139" w14:textId="5023D24A" w:rsidR="004020D9" w:rsidRPr="00682B78" w:rsidRDefault="00166A76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66A76">
              <w:rPr>
                <w:rFonts w:ascii="Arial" w:hAnsi="Arial" w:cs="Arial"/>
                <w:sz w:val="20"/>
                <w:szCs w:val="20"/>
              </w:rPr>
              <w:t>Delivery of operational efficiencies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0A5B4877" w14:textId="2398958E" w:rsidR="000837E5" w:rsidRDefault="000837E5" w:rsidP="005D7FE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assurance that member-facing activities are delivered </w:t>
            </w:r>
            <w:r w:rsidR="005B6A51">
              <w:rPr>
                <w:rFonts w:ascii="Arial" w:hAnsi="Arial" w:cs="Arial"/>
                <w:sz w:val="20"/>
                <w:szCs w:val="20"/>
              </w:rPr>
              <w:t>in line with policy, regulatory standards, and expected quality.</w:t>
            </w:r>
          </w:p>
          <w:p w14:paraId="2F7FBECC" w14:textId="4C990C86" w:rsidR="00E10746" w:rsidRPr="00426771" w:rsidRDefault="00D734B4" w:rsidP="0056280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Work </w:t>
            </w:r>
            <w:r w:rsidR="0084424C"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66089B"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COO </w:t>
            </w:r>
            <w:r w:rsidR="0066089B">
              <w:rPr>
                <w:rFonts w:ascii="Arial" w:hAnsi="Arial" w:cs="Arial"/>
                <w:sz w:val="20"/>
                <w:szCs w:val="20"/>
              </w:rPr>
              <w:t>Senior Leadership Team to e</w:t>
            </w:r>
            <w:r w:rsidR="00E10746">
              <w:rPr>
                <w:rFonts w:ascii="Arial" w:hAnsi="Arial" w:cs="Arial"/>
                <w:sz w:val="20"/>
                <w:szCs w:val="20"/>
              </w:rPr>
              <w:t>nsure learning from complaint</w:t>
            </w:r>
            <w:r w:rsidR="00902481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4740EB">
              <w:rPr>
                <w:rFonts w:ascii="Arial" w:hAnsi="Arial" w:cs="Arial"/>
                <w:sz w:val="20"/>
                <w:szCs w:val="20"/>
              </w:rPr>
              <w:t>incident</w:t>
            </w:r>
            <w:r w:rsidR="008A4B79">
              <w:rPr>
                <w:rFonts w:ascii="Arial" w:hAnsi="Arial" w:cs="Arial"/>
                <w:sz w:val="20"/>
                <w:szCs w:val="20"/>
              </w:rPr>
              <w:t xml:space="preserve">s, and </w:t>
            </w:r>
            <w:r w:rsidR="008A4B79" w:rsidRPr="00426771">
              <w:rPr>
                <w:rFonts w:ascii="Arial" w:hAnsi="Arial" w:cs="Arial"/>
                <w:sz w:val="20"/>
                <w:szCs w:val="20"/>
              </w:rPr>
              <w:t xml:space="preserve">assurance activity is fed back into operational improvement. </w:t>
            </w:r>
          </w:p>
          <w:p w14:paraId="70096404" w14:textId="6CDBD53E" w:rsidR="00562802" w:rsidRPr="00426771" w:rsidRDefault="00562802" w:rsidP="0056280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26771">
              <w:rPr>
                <w:rFonts w:ascii="Arial" w:hAnsi="Arial" w:cs="Arial"/>
                <w:sz w:val="20"/>
                <w:szCs w:val="20"/>
              </w:rPr>
              <w:t>Lead for a culture and capability in Lean / continuous improvement and project management to drive operational efficiency and great member experiences and outcomes</w:t>
            </w:r>
            <w:r w:rsidR="00426771" w:rsidRPr="004267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61320" w14:textId="08048AA9" w:rsidR="00BE01EF" w:rsidRPr="005D7FEE" w:rsidRDefault="00562802" w:rsidP="004020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6771">
              <w:rPr>
                <w:rFonts w:ascii="Arial" w:hAnsi="Arial" w:cs="Arial"/>
                <w:sz w:val="20"/>
                <w:szCs w:val="20"/>
              </w:rPr>
              <w:t>Lead to ensure the fair treatment and outcomes for members</w:t>
            </w:r>
            <w:r w:rsidR="000551E1" w:rsidRPr="00426771">
              <w:rPr>
                <w:rFonts w:ascii="Arial" w:hAnsi="Arial" w:cs="Arial"/>
                <w:sz w:val="20"/>
                <w:szCs w:val="20"/>
              </w:rPr>
              <w:t>,</w:t>
            </w:r>
            <w:r w:rsidRPr="004267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1E1" w:rsidRPr="0042677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26771">
              <w:rPr>
                <w:rFonts w:ascii="Arial" w:hAnsi="Arial" w:cs="Arial"/>
                <w:sz w:val="20"/>
                <w:szCs w:val="20"/>
              </w:rPr>
              <w:t>compliance with associated policies set out by Council, its committees and delegated authorities.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10A9C7" w14:textId="021EC755" w:rsidR="004020D9" w:rsidRPr="008D1E4B" w:rsidRDefault="00710353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Evidence of improved</w:t>
            </w:r>
            <w:r w:rsidR="00BC1B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E13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>through</w:t>
            </w:r>
            <w:r w:rsidR="00D63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BC4">
              <w:rPr>
                <w:rFonts w:ascii="Arial" w:hAnsi="Arial" w:cs="Arial"/>
                <w:sz w:val="20"/>
                <w:szCs w:val="20"/>
              </w:rPr>
              <w:t>learning and continuous improvement intervention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784343E" w14:textId="26B4AE76" w:rsidR="00E905DD" w:rsidRDefault="00BF6C1C" w:rsidP="005628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governance </w:t>
            </w:r>
            <w:r w:rsidR="002208F2">
              <w:rPr>
                <w:rFonts w:ascii="Arial" w:hAnsi="Arial" w:cs="Arial"/>
                <w:sz w:val="20"/>
                <w:szCs w:val="20"/>
              </w:rPr>
              <w:t xml:space="preserve">and assurance over the application </w:t>
            </w:r>
            <w:r w:rsidR="00047D10">
              <w:rPr>
                <w:rFonts w:ascii="Arial" w:hAnsi="Arial" w:cs="Arial"/>
                <w:sz w:val="20"/>
                <w:szCs w:val="20"/>
              </w:rPr>
              <w:t>of policies, frameworks, and standards across operational teams.</w:t>
            </w:r>
          </w:p>
          <w:p w14:paraId="15BC8EB5" w14:textId="3A512C19" w:rsidR="00047D10" w:rsidRDefault="00047D10" w:rsidP="005628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leaders and teams by providing clarity of requirements, controls, and good practices.</w:t>
            </w:r>
          </w:p>
          <w:p w14:paraId="4A84C502" w14:textId="093AAD64" w:rsidR="00FD6A0A" w:rsidRDefault="00FD6A0A" w:rsidP="005628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assurance capability and understanding across the </w:t>
            </w:r>
            <w:r w:rsidR="009C4512">
              <w:rPr>
                <w:rFonts w:ascii="Arial" w:hAnsi="Arial" w:cs="Arial"/>
                <w:sz w:val="20"/>
                <w:szCs w:val="20"/>
              </w:rPr>
              <w:t>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Directorate through guidance and oversight.</w:t>
            </w:r>
          </w:p>
          <w:p w14:paraId="34EBB4C8" w14:textId="28C7F6D1" w:rsidR="00E905DD" w:rsidRDefault="00FD6A0A" w:rsidP="0026743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Promote consistent </w:t>
            </w:r>
            <w:r w:rsidR="00267431">
              <w:rPr>
                <w:rFonts w:ascii="Arial" w:hAnsi="Arial" w:cs="Arial"/>
                <w:sz w:val="20"/>
                <w:szCs w:val="20"/>
              </w:rPr>
              <w:t>documentation and knowledge management practices.</w:t>
            </w:r>
          </w:p>
          <w:p w14:paraId="544314B7" w14:textId="77777777" w:rsidR="007B3BFF" w:rsidRPr="007B3BFF" w:rsidRDefault="007B3BFF" w:rsidP="007B3B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B3BFF">
              <w:rPr>
                <w:rFonts w:ascii="Arial" w:hAnsi="Arial" w:cs="Arial"/>
                <w:sz w:val="20"/>
                <w:szCs w:val="20"/>
              </w:rPr>
              <w:t xml:space="preserve">Take an active role in promoting a more inclusive environment, which aligns with our commitment to celebrate and promote diversity. </w:t>
            </w:r>
          </w:p>
          <w:p w14:paraId="0F92A62F" w14:textId="77777777" w:rsidR="007B3BFF" w:rsidRPr="007B3BFF" w:rsidRDefault="007B3BFF" w:rsidP="007B3B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B3BFF">
              <w:rPr>
                <w:rFonts w:ascii="Arial" w:hAnsi="Arial" w:cs="Arial"/>
                <w:sz w:val="20"/>
                <w:szCs w:val="20"/>
              </w:rPr>
              <w:t xml:space="preserve">Build strong relationships with stakeholders, ensuring projects / outcomes are delivered effectively.  </w:t>
            </w:r>
          </w:p>
          <w:p w14:paraId="3BF463B3" w14:textId="77777777" w:rsidR="007B3BFF" w:rsidRPr="007B3BFF" w:rsidRDefault="007B3BFF" w:rsidP="007B3B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B3BFF">
              <w:rPr>
                <w:rFonts w:ascii="Arial" w:hAnsi="Arial" w:cs="Arial"/>
                <w:sz w:val="20"/>
                <w:szCs w:val="20"/>
              </w:rPr>
              <w:t xml:space="preserve">Provide strong leadership to ensure the training, competence, performance and engagement of the team. Ensure colleagues have clarity on their accountabilities and comply with all governance, policy standards and processes. </w:t>
            </w:r>
          </w:p>
          <w:p w14:paraId="21117B03" w14:textId="39B94614" w:rsidR="007B3BFF" w:rsidRPr="00267431" w:rsidRDefault="007B3BFF" w:rsidP="007B3B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B3BFF">
              <w:rPr>
                <w:rFonts w:ascii="Arial" w:hAnsi="Arial" w:cs="Arial"/>
                <w:sz w:val="20"/>
                <w:szCs w:val="20"/>
              </w:rPr>
              <w:t>Develop a high-performance culture whilst creating a great place to work for colleagues.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6089EC" w14:textId="77777777" w:rsidR="00562802" w:rsidRPr="00F95EC6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064830DC" w14:textId="3FE4DF8A" w:rsidR="00562802" w:rsidRPr="00F95EC6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Robust PDPs</w:t>
            </w:r>
          </w:p>
          <w:p w14:paraId="602F4EE5" w14:textId="77777777" w:rsidR="00562802" w:rsidRPr="00F95EC6" w:rsidRDefault="00682B78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People Metrics – attrition, absence</w:t>
            </w:r>
          </w:p>
          <w:p w14:paraId="38CDEB81" w14:textId="7CEB0BC4" w:rsidR="00562802" w:rsidRPr="00F95EC6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Delivery of People Plans</w:t>
            </w:r>
          </w:p>
          <w:p w14:paraId="65863699" w14:textId="77777777" w:rsidR="004020D9" w:rsidRPr="00F95EC6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3A500C" w:rsidRPr="00682B78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5EC6">
              <w:rPr>
                <w:rFonts w:ascii="Arial" w:hAnsi="Arial" w:cs="Arial"/>
                <w:sz w:val="20"/>
                <w:szCs w:val="20"/>
              </w:rPr>
              <w:t>Colleague surveys</w:t>
            </w: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60919F74" w14:textId="56A9585E" w:rsidR="00E039DD" w:rsidRDefault="00282BDC" w:rsidP="00E03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1F1ECD">
              <w:rPr>
                <w:rFonts w:ascii="Arial" w:hAnsi="Arial" w:cs="Arial"/>
                <w:sz w:val="20"/>
                <w:szCs w:val="20"/>
              </w:rPr>
              <w:t xml:space="preserve">the coordination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risk and control management across the </w:t>
            </w:r>
            <w:r w:rsidR="00376882">
              <w:rPr>
                <w:rFonts w:ascii="Arial" w:hAnsi="Arial" w:cs="Arial"/>
                <w:sz w:val="20"/>
                <w:szCs w:val="20"/>
              </w:rPr>
              <w:t>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</w:t>
            </w:r>
            <w:r w:rsidR="00B423A2">
              <w:rPr>
                <w:rFonts w:ascii="Arial" w:hAnsi="Arial" w:cs="Arial"/>
                <w:sz w:val="20"/>
                <w:szCs w:val="20"/>
              </w:rPr>
              <w:t>orate.</w:t>
            </w:r>
          </w:p>
          <w:p w14:paraId="0416E83D" w14:textId="74567CEE" w:rsidR="00B44E89" w:rsidRDefault="00161F67" w:rsidP="00E03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 audit activity and oversee the delivery of audit actions</w:t>
            </w:r>
            <w:r w:rsidR="00DB316A">
              <w:rPr>
                <w:rFonts w:ascii="Arial" w:hAnsi="Arial" w:cs="Arial"/>
                <w:sz w:val="20"/>
                <w:szCs w:val="20"/>
              </w:rPr>
              <w:t xml:space="preserve"> and remediation plans.</w:t>
            </w:r>
          </w:p>
          <w:p w14:paraId="69D9D10F" w14:textId="4B59E849" w:rsidR="00DB316A" w:rsidRDefault="00DB316A" w:rsidP="00E03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regulatory standards and requirements, ensuring operational compliance and readiness. </w:t>
            </w:r>
          </w:p>
          <w:p w14:paraId="7D550591" w14:textId="47CDE44D" w:rsidR="009D1DC9" w:rsidRPr="00053CB3" w:rsidRDefault="009D1DC9" w:rsidP="00E03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data representation</w:t>
            </w:r>
            <w:r w:rsidR="00DB5589">
              <w:rPr>
                <w:rFonts w:ascii="Arial" w:hAnsi="Arial" w:cs="Arial"/>
                <w:sz w:val="20"/>
                <w:szCs w:val="20"/>
              </w:rPr>
              <w:t>, data controller responsibilities</w:t>
            </w:r>
            <w:r w:rsidR="009242D3">
              <w:rPr>
                <w:rFonts w:ascii="Arial" w:hAnsi="Arial" w:cs="Arial"/>
                <w:sz w:val="20"/>
                <w:szCs w:val="20"/>
              </w:rPr>
              <w:t>,</w:t>
            </w:r>
            <w:r w:rsidR="00DB5589">
              <w:rPr>
                <w:rFonts w:ascii="Arial" w:hAnsi="Arial" w:cs="Arial"/>
                <w:sz w:val="20"/>
                <w:szCs w:val="20"/>
              </w:rPr>
              <w:t xml:space="preserve"> and data </w:t>
            </w:r>
            <w:r w:rsidR="00DB5589" w:rsidRPr="00053CB3">
              <w:rPr>
                <w:rFonts w:ascii="Arial" w:hAnsi="Arial" w:cs="Arial"/>
                <w:sz w:val="20"/>
                <w:szCs w:val="20"/>
              </w:rPr>
              <w:t xml:space="preserve">quality assurance. </w:t>
            </w:r>
          </w:p>
          <w:p w14:paraId="0F207EF6" w14:textId="44FD6330" w:rsidR="009242D3" w:rsidRPr="00053CB3" w:rsidRDefault="009242D3" w:rsidP="00E039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Maintain oversight of governance documentation</w:t>
            </w:r>
            <w:r w:rsidR="008B0CE6" w:rsidRPr="00053CB3">
              <w:rPr>
                <w:rFonts w:ascii="Arial" w:hAnsi="Arial" w:cs="Arial"/>
                <w:sz w:val="20"/>
                <w:szCs w:val="20"/>
              </w:rPr>
              <w:t xml:space="preserve">, knowledge management, and asset registers. </w:t>
            </w:r>
          </w:p>
          <w:p w14:paraId="4991EDED" w14:textId="75155BC4" w:rsidR="00300A0D" w:rsidRPr="00053CB3" w:rsidRDefault="00300A0D" w:rsidP="00053CB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Understand the risk management appetite in role, including the reporting of any perceived risks and compliance with relevant controls.</w:t>
            </w: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E230A4" w14:textId="77777777" w:rsidR="00376882" w:rsidRPr="00053CB3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4B1A6020" w14:textId="535EC0C0" w:rsidR="004020D9" w:rsidRPr="00682B78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eastAsia="Calibri" w:hAnsi="Arial" w:cs="Arial"/>
                <w:sz w:val="20"/>
                <w:szCs w:val="20"/>
              </w:rPr>
              <w:t>Audit Action</w:t>
            </w:r>
            <w:r w:rsidR="00053CB3" w:rsidRPr="00053CB3">
              <w:rPr>
                <w:rFonts w:ascii="Arial" w:eastAsia="Calibri" w:hAnsi="Arial" w:cs="Arial"/>
                <w:sz w:val="20"/>
                <w:szCs w:val="20"/>
              </w:rPr>
              <w:t xml:space="preserve"> completion</w:t>
            </w: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497BA00C" w14:textId="77777777" w:rsidR="00562802" w:rsidRDefault="0056280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D410C14" w14:textId="77777777" w:rsidR="00562802" w:rsidRPr="00053CB3" w:rsidRDefault="00562802" w:rsidP="0056280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Offer meaningful decision points and insight to MPS forums to ensure that the business operates within risk appetite, and decision makers are fully informed and equipped.</w:t>
            </w:r>
          </w:p>
          <w:p w14:paraId="137924EC" w14:textId="77777777" w:rsidR="00562802" w:rsidRPr="00053CB3" w:rsidRDefault="00562802" w:rsidP="0056280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lastRenderedPageBreak/>
              <w:t>Keep abreast of evolving legislation and best practice; identify and recommend opportunities for MPS to become more efficient and effective.</w:t>
            </w:r>
          </w:p>
          <w:p w14:paraId="298A3A6B" w14:textId="77777777" w:rsidR="00562802" w:rsidRPr="00053CB3" w:rsidRDefault="00562802" w:rsidP="00562802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14:paraId="36EFD5B1" w14:textId="77777777" w:rsidR="00562802" w:rsidRPr="00053CB3" w:rsidRDefault="00562802" w:rsidP="00562802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622AB9B5" w14:textId="77777777" w:rsidR="00562802" w:rsidRPr="00053CB3" w:rsidRDefault="00562802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14:paraId="743E188F" w14:textId="2270F319" w:rsidR="00562802" w:rsidRPr="00053CB3" w:rsidRDefault="00562802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CB3">
              <w:rPr>
                <w:rFonts w:ascii="Arial" w:hAnsi="Arial" w:cs="Arial"/>
                <w:sz w:val="20"/>
                <w:szCs w:val="20"/>
              </w:rPr>
              <w:t>Undertake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711B87">
        <w:trPr>
          <w:trHeight w:val="627"/>
        </w:trPr>
        <w:tc>
          <w:tcPr>
            <w:tcW w:w="9016" w:type="dxa"/>
          </w:tcPr>
          <w:p w14:paraId="2767DB65" w14:textId="69A22242" w:rsidR="00682B78" w:rsidRPr="00711B87" w:rsidRDefault="00711B87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11B87">
              <w:rPr>
                <w:rFonts w:ascii="Arial" w:hAnsi="Arial" w:cs="Arial"/>
                <w:sz w:val="20"/>
                <w:szCs w:val="20"/>
              </w:rPr>
              <w:t>Operational Risk, Data, and Governance reporting into ORCC and ARC.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2CCD1A22" w14:textId="13DBA03A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3850B4B3" w14:textId="3D60B71A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0805B5EB" w14:textId="0F524005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7F1E33DA" w14:textId="703446A8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6BCE169E" w14:textId="09674C12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21F3973E" w14:textId="11E6464B" w:rsidR="00BE01EF" w:rsidRPr="00682B78" w:rsidRDefault="00711B8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3215"/>
        <w:gridCol w:w="2737"/>
        <w:gridCol w:w="2604"/>
      </w:tblGrid>
      <w:tr w:rsidR="00BE01EF" w:rsidRPr="00682B78" w14:paraId="5FACFC7C" w14:textId="77777777" w:rsidTr="1EA8DA7A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43999955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EA8DA7A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1EA8DA7A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400A0159" w14:textId="77777777" w:rsidR="00E320B1" w:rsidRPr="00E320B1" w:rsidRDefault="00E320B1" w:rsidP="00E320B1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E320B1">
              <w:rPr>
                <w:rFonts w:ascii="Arial" w:hAnsi="Arial" w:cs="Arial"/>
                <w:sz w:val="20"/>
                <w:szCs w:val="20"/>
              </w:rPr>
              <w:t>Comprehensive knowledge of member/customer operations delivery </w:t>
            </w:r>
          </w:p>
          <w:p w14:paraId="42626ABB" w14:textId="64E2AEC6" w:rsidR="00E320B1" w:rsidRDefault="00E320B1" w:rsidP="00E320B1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E320B1">
              <w:rPr>
                <w:rFonts w:ascii="Arial" w:hAnsi="Arial" w:cs="Arial"/>
                <w:sz w:val="20"/>
                <w:szCs w:val="20"/>
              </w:rPr>
              <w:t xml:space="preserve">Understanding of industry best practise re: </w:t>
            </w:r>
            <w:r w:rsidR="00F102B5">
              <w:rPr>
                <w:rFonts w:ascii="Arial" w:hAnsi="Arial" w:cs="Arial"/>
                <w:sz w:val="20"/>
                <w:szCs w:val="20"/>
              </w:rPr>
              <w:t>operational risk, governance, and data controls</w:t>
            </w:r>
          </w:p>
          <w:p w14:paraId="28FA0230" w14:textId="029A6367" w:rsidR="00252679" w:rsidRDefault="00252679" w:rsidP="00E320B1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Understanding of regulatory landscape re: </w:t>
            </w:r>
            <w:r w:rsidR="00AA4ABB">
              <w:rPr>
                <w:rFonts w:ascii="Arial" w:hAnsi="Arial" w:cs="Arial"/>
                <w:sz w:val="20"/>
                <w:szCs w:val="20"/>
              </w:rPr>
              <w:t>operational risk and resilience</w:t>
            </w:r>
          </w:p>
          <w:p w14:paraId="0A0BCAF5" w14:textId="1D951CA0" w:rsidR="00EF3604" w:rsidRPr="00E85E77" w:rsidRDefault="00EF3604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Understanding of corporate landscapes and how to utilise them to deliver</w:t>
            </w:r>
          </w:p>
          <w:p w14:paraId="78BD48C8" w14:textId="788BB600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DD9C342" w14:textId="60BFA8FB" w:rsidR="00EF3604" w:rsidRPr="00E85E77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business and financial acumen. </w:t>
            </w:r>
          </w:p>
          <w:p w14:paraId="5624BD20" w14:textId="77777777" w:rsidR="00EF3604" w:rsidRPr="00E85E77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Project management capability.</w:t>
            </w:r>
          </w:p>
          <w:p w14:paraId="5A786218" w14:textId="77777777" w:rsidR="00EF3604" w:rsidRPr="00E85E77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Highly skilled at stakeholder engagement. Strong consultative, partnership and influencing skills.</w:t>
            </w:r>
          </w:p>
          <w:p w14:paraId="57581B05" w14:textId="79F06B01" w:rsidR="00EF3604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Strategic thinker</w:t>
            </w:r>
            <w:r w:rsidR="00F460DB" w:rsidRPr="00E85E77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3F4D4BE" w14:textId="09381521" w:rsidR="00AD542E" w:rsidRPr="00E85E77" w:rsidRDefault="00AD542E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attention to detail and ability to</w:t>
            </w:r>
            <w:r w:rsidR="006C750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ascertain root cause and </w:t>
            </w:r>
            <w:r w:rsidR="00292622">
              <w:rPr>
                <w:rFonts w:ascii="Arial" w:eastAsia="Calibri" w:hAnsi="Arial" w:cs="Arial"/>
                <w:bCs/>
                <w:sz w:val="20"/>
                <w:szCs w:val="20"/>
              </w:rPr>
              <w:t>connections.</w:t>
            </w:r>
          </w:p>
          <w:p w14:paraId="6A1162A9" w14:textId="77777777" w:rsidR="00EF3604" w:rsidRPr="00E85E77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An effective and skilled communicator, can simplify complexity.</w:t>
            </w:r>
          </w:p>
          <w:p w14:paraId="7118D566" w14:textId="77777777" w:rsidR="00EF3604" w:rsidRPr="00E85E77" w:rsidRDefault="00EF3604" w:rsidP="00E85E7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Highly organised, able to deal effectively with competing priorities.</w:t>
            </w:r>
          </w:p>
          <w:p w14:paraId="109E0EA7" w14:textId="1E45A6B3" w:rsidR="00BE01EF" w:rsidRPr="00E85E77" w:rsidRDefault="390E87B9" w:rsidP="1EA8DA7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1EA8DA7A">
              <w:rPr>
                <w:rFonts w:ascii="Arial" w:eastAsia="Calibri" w:hAnsi="Arial" w:cs="Arial"/>
                <w:sz w:val="20"/>
                <w:szCs w:val="20"/>
              </w:rPr>
              <w:t>Ability to analyse and understand data, utilising multiple sources to create meaningful MI.</w:t>
            </w:r>
          </w:p>
        </w:tc>
        <w:tc>
          <w:tcPr>
            <w:tcW w:w="2818" w:type="dxa"/>
          </w:tcPr>
          <w:p w14:paraId="5FBED81A" w14:textId="0B3002F9" w:rsidR="00EF3604" w:rsidRPr="00E85E77" w:rsidRDefault="00EF3604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E85E77">
              <w:rPr>
                <w:rFonts w:ascii="Arial" w:eastAsia="Calibri" w:hAnsi="Arial" w:cs="Arial"/>
                <w:bCs/>
                <w:sz w:val="20"/>
                <w:szCs w:val="20"/>
              </w:rPr>
              <w:t>Experience of driving and delivering change</w:t>
            </w:r>
          </w:p>
          <w:p w14:paraId="10470ABA" w14:textId="56899303" w:rsidR="00DC4CF0" w:rsidRDefault="00DC4CF0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DC4CF0">
              <w:rPr>
                <w:rFonts w:ascii="Arial" w:hAnsi="Arial" w:cs="Arial"/>
                <w:sz w:val="20"/>
                <w:szCs w:val="20"/>
              </w:rPr>
              <w:t xml:space="preserve">Experience of leading </w:t>
            </w:r>
            <w:r>
              <w:rPr>
                <w:rFonts w:ascii="Arial" w:hAnsi="Arial" w:cs="Arial"/>
                <w:sz w:val="20"/>
                <w:szCs w:val="20"/>
              </w:rPr>
              <w:t>risk and governance teams</w:t>
            </w:r>
            <w:r w:rsidRPr="00DC4CF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EBB7D" w14:textId="4447C46B" w:rsidR="00E66610" w:rsidRPr="00E85E77" w:rsidRDefault="00E66610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E66610">
              <w:rPr>
                <w:rFonts w:ascii="Arial" w:hAnsi="Arial" w:cs="Arial"/>
                <w:sz w:val="20"/>
                <w:szCs w:val="20"/>
              </w:rPr>
              <w:t>Experience of leading teams – developing, motivating and effectively performance managing team members. </w:t>
            </w:r>
          </w:p>
          <w:p w14:paraId="1AA4E906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1EA8DA7A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3E8263FF" w14:textId="7D3CA86C" w:rsidR="00EF3604" w:rsidRDefault="00CA1228" w:rsidP="00EF3604">
            <w:pPr>
              <w:pStyle w:val="ListParagraph"/>
              <w:numPr>
                <w:ilvl w:val="0"/>
                <w:numId w:val="12"/>
              </w:numPr>
              <w:spacing w:before="100" w:beforeAutospacing="1" w:afterAutospacing="1"/>
              <w:ind w:left="249" w:hanging="249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228">
              <w:rPr>
                <w:rFonts w:ascii="Arial" w:eastAsia="Calibri" w:hAnsi="Arial" w:cs="Arial"/>
                <w:bCs/>
                <w:sz w:val="20"/>
                <w:szCs w:val="20"/>
              </w:rPr>
              <w:t>Business / Operational / Leadership qualification e.g. MBA, ILM </w:t>
            </w:r>
          </w:p>
          <w:p w14:paraId="5E28AC3F" w14:textId="5F0C0055" w:rsidR="00CA1228" w:rsidRDefault="00CA1228" w:rsidP="00EF3604">
            <w:pPr>
              <w:pStyle w:val="ListParagraph"/>
              <w:numPr>
                <w:ilvl w:val="0"/>
                <w:numId w:val="12"/>
              </w:numPr>
              <w:spacing w:before="100" w:beforeAutospacing="1" w:afterAutospacing="1"/>
              <w:ind w:left="249" w:hanging="249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A122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current and emerging operations </w:t>
            </w:r>
            <w:r w:rsidR="00062B7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risk </w:t>
            </w:r>
            <w:r w:rsidRPr="00CA1228">
              <w:rPr>
                <w:rFonts w:ascii="Arial" w:eastAsia="Calibri" w:hAnsi="Arial" w:cs="Arial"/>
                <w:bCs/>
                <w:sz w:val="20"/>
                <w:szCs w:val="20"/>
              </w:rPr>
              <w:t>delivery models in the UK and internationally. </w:t>
            </w:r>
          </w:p>
          <w:p w14:paraId="7A2A5660" w14:textId="60D1B3C3" w:rsidR="00CA1228" w:rsidRPr="00CA1228" w:rsidRDefault="00CA1228" w:rsidP="00EF3604">
            <w:pPr>
              <w:pStyle w:val="ListParagraph"/>
              <w:numPr>
                <w:ilvl w:val="0"/>
                <w:numId w:val="12"/>
              </w:numPr>
              <w:spacing w:before="100" w:beforeAutospacing="1" w:afterAutospacing="1"/>
              <w:ind w:left="249" w:hanging="249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Risk Management qualification e.g. I</w:t>
            </w:r>
            <w:r w:rsidR="00E634B7">
              <w:rPr>
                <w:rFonts w:ascii="Arial" w:eastAsia="Calibri" w:hAnsi="Arial" w:cs="Arial"/>
                <w:bCs/>
                <w:sz w:val="20"/>
                <w:szCs w:val="20"/>
              </w:rPr>
              <w:t>RM</w:t>
            </w:r>
          </w:p>
          <w:p w14:paraId="2F7937A5" w14:textId="2B430BE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23A5" w14:textId="77777777" w:rsidR="0054160D" w:rsidRDefault="0054160D" w:rsidP="004020D9">
      <w:pPr>
        <w:spacing w:after="0" w:line="240" w:lineRule="auto"/>
      </w:pPr>
      <w:r>
        <w:separator/>
      </w:r>
    </w:p>
  </w:endnote>
  <w:endnote w:type="continuationSeparator" w:id="0">
    <w:p w14:paraId="65F66AFA" w14:textId="77777777" w:rsidR="0054160D" w:rsidRDefault="0054160D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C4E" w14:textId="77777777" w:rsidR="0054160D" w:rsidRDefault="0054160D" w:rsidP="004020D9">
      <w:pPr>
        <w:spacing w:after="0" w:line="240" w:lineRule="auto"/>
      </w:pPr>
      <w:r>
        <w:separator/>
      </w:r>
    </w:p>
  </w:footnote>
  <w:footnote w:type="continuationSeparator" w:id="0">
    <w:p w14:paraId="6C4CAD5F" w14:textId="77777777" w:rsidR="0054160D" w:rsidRDefault="0054160D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86"/>
    <w:multiLevelType w:val="multilevel"/>
    <w:tmpl w:val="E22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72A64"/>
    <w:multiLevelType w:val="hybridMultilevel"/>
    <w:tmpl w:val="CF081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61B"/>
    <w:multiLevelType w:val="multilevel"/>
    <w:tmpl w:val="94F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470089E"/>
    <w:multiLevelType w:val="multilevel"/>
    <w:tmpl w:val="7D6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36320"/>
    <w:multiLevelType w:val="multilevel"/>
    <w:tmpl w:val="FFA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6734D"/>
    <w:multiLevelType w:val="multilevel"/>
    <w:tmpl w:val="339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B42C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74E5B"/>
    <w:multiLevelType w:val="multilevel"/>
    <w:tmpl w:val="6478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70CCB"/>
    <w:multiLevelType w:val="multilevel"/>
    <w:tmpl w:val="060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FD32C2"/>
    <w:multiLevelType w:val="multilevel"/>
    <w:tmpl w:val="184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131F45"/>
    <w:multiLevelType w:val="multilevel"/>
    <w:tmpl w:val="A50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F49E3"/>
    <w:multiLevelType w:val="multilevel"/>
    <w:tmpl w:val="88E0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0A2"/>
    <w:multiLevelType w:val="multilevel"/>
    <w:tmpl w:val="9EBC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371234">
    <w:abstractNumId w:val="25"/>
  </w:num>
  <w:num w:numId="2" w16cid:durableId="1558474944">
    <w:abstractNumId w:val="1"/>
  </w:num>
  <w:num w:numId="3" w16cid:durableId="2034382179">
    <w:abstractNumId w:val="16"/>
  </w:num>
  <w:num w:numId="4" w16cid:durableId="2064064650">
    <w:abstractNumId w:val="11"/>
  </w:num>
  <w:num w:numId="5" w16cid:durableId="1214972326">
    <w:abstractNumId w:val="5"/>
  </w:num>
  <w:num w:numId="6" w16cid:durableId="1851288215">
    <w:abstractNumId w:val="27"/>
  </w:num>
  <w:num w:numId="7" w16cid:durableId="1068261711">
    <w:abstractNumId w:val="23"/>
  </w:num>
  <w:num w:numId="8" w16cid:durableId="655305644">
    <w:abstractNumId w:val="4"/>
  </w:num>
  <w:num w:numId="9" w16cid:durableId="407076630">
    <w:abstractNumId w:val="12"/>
  </w:num>
  <w:num w:numId="10" w16cid:durableId="714041377">
    <w:abstractNumId w:val="10"/>
  </w:num>
  <w:num w:numId="11" w16cid:durableId="1411082662">
    <w:abstractNumId w:val="20"/>
  </w:num>
  <w:num w:numId="12" w16cid:durableId="426468710">
    <w:abstractNumId w:val="14"/>
  </w:num>
  <w:num w:numId="13" w16cid:durableId="965700546">
    <w:abstractNumId w:val="19"/>
  </w:num>
  <w:num w:numId="14" w16cid:durableId="748966327">
    <w:abstractNumId w:val="2"/>
  </w:num>
  <w:num w:numId="15" w16cid:durableId="443040229">
    <w:abstractNumId w:val="17"/>
  </w:num>
  <w:num w:numId="16" w16cid:durableId="833961144">
    <w:abstractNumId w:val="26"/>
  </w:num>
  <w:num w:numId="17" w16cid:durableId="1496262608">
    <w:abstractNumId w:val="7"/>
  </w:num>
  <w:num w:numId="18" w16cid:durableId="828717484">
    <w:abstractNumId w:val="13"/>
  </w:num>
  <w:num w:numId="19" w16cid:durableId="1251086447">
    <w:abstractNumId w:val="3"/>
  </w:num>
  <w:num w:numId="20" w16cid:durableId="1672903862">
    <w:abstractNumId w:val="9"/>
  </w:num>
  <w:num w:numId="21" w16cid:durableId="345137280">
    <w:abstractNumId w:val="8"/>
  </w:num>
  <w:num w:numId="22" w16cid:durableId="532812710">
    <w:abstractNumId w:val="22"/>
  </w:num>
  <w:num w:numId="23" w16cid:durableId="1810584821">
    <w:abstractNumId w:val="28"/>
  </w:num>
  <w:num w:numId="24" w16cid:durableId="1317101080">
    <w:abstractNumId w:val="0"/>
  </w:num>
  <w:num w:numId="25" w16cid:durableId="1264418125">
    <w:abstractNumId w:val="29"/>
  </w:num>
  <w:num w:numId="26" w16cid:durableId="2082095563">
    <w:abstractNumId w:val="18"/>
  </w:num>
  <w:num w:numId="27" w16cid:durableId="1093890835">
    <w:abstractNumId w:val="21"/>
  </w:num>
  <w:num w:numId="28" w16cid:durableId="1041830172">
    <w:abstractNumId w:val="24"/>
  </w:num>
  <w:num w:numId="29" w16cid:durableId="923757326">
    <w:abstractNumId w:val="6"/>
  </w:num>
  <w:num w:numId="30" w16cid:durableId="975062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4EDF"/>
    <w:rsid w:val="00047525"/>
    <w:rsid w:val="00047D10"/>
    <w:rsid w:val="00053CB3"/>
    <w:rsid w:val="00054A52"/>
    <w:rsid w:val="000551E1"/>
    <w:rsid w:val="000600A0"/>
    <w:rsid w:val="00062B75"/>
    <w:rsid w:val="00063216"/>
    <w:rsid w:val="00063950"/>
    <w:rsid w:val="000837E5"/>
    <w:rsid w:val="00097A21"/>
    <w:rsid w:val="000A7E78"/>
    <w:rsid w:val="000F63B0"/>
    <w:rsid w:val="00102654"/>
    <w:rsid w:val="00103188"/>
    <w:rsid w:val="0011617E"/>
    <w:rsid w:val="0012020B"/>
    <w:rsid w:val="00120F5F"/>
    <w:rsid w:val="001418A9"/>
    <w:rsid w:val="00161F67"/>
    <w:rsid w:val="00166A76"/>
    <w:rsid w:val="0018266D"/>
    <w:rsid w:val="001B17CE"/>
    <w:rsid w:val="001B56AF"/>
    <w:rsid w:val="001D0533"/>
    <w:rsid w:val="001E6AD9"/>
    <w:rsid w:val="001F1ECD"/>
    <w:rsid w:val="002208F2"/>
    <w:rsid w:val="00225FDC"/>
    <w:rsid w:val="00237005"/>
    <w:rsid w:val="00252679"/>
    <w:rsid w:val="00267431"/>
    <w:rsid w:val="002709B5"/>
    <w:rsid w:val="0027215D"/>
    <w:rsid w:val="00280BD1"/>
    <w:rsid w:val="00282BDC"/>
    <w:rsid w:val="00292622"/>
    <w:rsid w:val="002A0EA5"/>
    <w:rsid w:val="002C2C1E"/>
    <w:rsid w:val="002C7E5C"/>
    <w:rsid w:val="002E5A17"/>
    <w:rsid w:val="00300A0D"/>
    <w:rsid w:val="00305949"/>
    <w:rsid w:val="00324FD1"/>
    <w:rsid w:val="00333F53"/>
    <w:rsid w:val="00376882"/>
    <w:rsid w:val="00380C0C"/>
    <w:rsid w:val="003A17B8"/>
    <w:rsid w:val="003A400E"/>
    <w:rsid w:val="003A500C"/>
    <w:rsid w:val="003A72B1"/>
    <w:rsid w:val="003C6FA7"/>
    <w:rsid w:val="003E0DAA"/>
    <w:rsid w:val="004020D9"/>
    <w:rsid w:val="004059F6"/>
    <w:rsid w:val="00423227"/>
    <w:rsid w:val="00426771"/>
    <w:rsid w:val="00444A6F"/>
    <w:rsid w:val="004740EB"/>
    <w:rsid w:val="00483FDE"/>
    <w:rsid w:val="004C5CBE"/>
    <w:rsid w:val="004D2290"/>
    <w:rsid w:val="004F1BC8"/>
    <w:rsid w:val="00531AF5"/>
    <w:rsid w:val="00533E6C"/>
    <w:rsid w:val="0054160D"/>
    <w:rsid w:val="00561A3A"/>
    <w:rsid w:val="00562802"/>
    <w:rsid w:val="00563C64"/>
    <w:rsid w:val="005A4EDA"/>
    <w:rsid w:val="005B0A49"/>
    <w:rsid w:val="005B6A51"/>
    <w:rsid w:val="005D7FEE"/>
    <w:rsid w:val="005E70A7"/>
    <w:rsid w:val="0060467A"/>
    <w:rsid w:val="00612098"/>
    <w:rsid w:val="00621FE2"/>
    <w:rsid w:val="00630341"/>
    <w:rsid w:val="0066089B"/>
    <w:rsid w:val="00666A6B"/>
    <w:rsid w:val="00682B78"/>
    <w:rsid w:val="006A3B11"/>
    <w:rsid w:val="006A5A55"/>
    <w:rsid w:val="006C7500"/>
    <w:rsid w:val="006D207A"/>
    <w:rsid w:val="006D4F99"/>
    <w:rsid w:val="006F1015"/>
    <w:rsid w:val="00710353"/>
    <w:rsid w:val="00711B87"/>
    <w:rsid w:val="00716235"/>
    <w:rsid w:val="00716FAA"/>
    <w:rsid w:val="0072317C"/>
    <w:rsid w:val="007404FA"/>
    <w:rsid w:val="007511E9"/>
    <w:rsid w:val="0075303E"/>
    <w:rsid w:val="00754E29"/>
    <w:rsid w:val="00761332"/>
    <w:rsid w:val="00761467"/>
    <w:rsid w:val="0079501C"/>
    <w:rsid w:val="007A6244"/>
    <w:rsid w:val="007B1CA3"/>
    <w:rsid w:val="007B3BFF"/>
    <w:rsid w:val="007D221B"/>
    <w:rsid w:val="007E5EEC"/>
    <w:rsid w:val="007F24E9"/>
    <w:rsid w:val="00811091"/>
    <w:rsid w:val="008329CB"/>
    <w:rsid w:val="0083557E"/>
    <w:rsid w:val="0084424C"/>
    <w:rsid w:val="00861A9C"/>
    <w:rsid w:val="00865D1F"/>
    <w:rsid w:val="008924EE"/>
    <w:rsid w:val="008A4B79"/>
    <w:rsid w:val="008B0CE6"/>
    <w:rsid w:val="008C68D3"/>
    <w:rsid w:val="008D0BAF"/>
    <w:rsid w:val="008D11F5"/>
    <w:rsid w:val="008D1E4B"/>
    <w:rsid w:val="00901DF4"/>
    <w:rsid w:val="00902481"/>
    <w:rsid w:val="00911B3D"/>
    <w:rsid w:val="009153C2"/>
    <w:rsid w:val="009242D3"/>
    <w:rsid w:val="0092584C"/>
    <w:rsid w:val="009451D4"/>
    <w:rsid w:val="009830B1"/>
    <w:rsid w:val="009A2771"/>
    <w:rsid w:val="009C4512"/>
    <w:rsid w:val="009D1DC9"/>
    <w:rsid w:val="009D2504"/>
    <w:rsid w:val="009E0E2B"/>
    <w:rsid w:val="009E3B14"/>
    <w:rsid w:val="009F3CF1"/>
    <w:rsid w:val="00A43903"/>
    <w:rsid w:val="00A86E57"/>
    <w:rsid w:val="00A87307"/>
    <w:rsid w:val="00AA4ABB"/>
    <w:rsid w:val="00AA739E"/>
    <w:rsid w:val="00AD542E"/>
    <w:rsid w:val="00B00B67"/>
    <w:rsid w:val="00B021AA"/>
    <w:rsid w:val="00B07716"/>
    <w:rsid w:val="00B41603"/>
    <w:rsid w:val="00B423A2"/>
    <w:rsid w:val="00B44E89"/>
    <w:rsid w:val="00B500CB"/>
    <w:rsid w:val="00B963D8"/>
    <w:rsid w:val="00BA1566"/>
    <w:rsid w:val="00BC1BC4"/>
    <w:rsid w:val="00BE01EF"/>
    <w:rsid w:val="00BF0D50"/>
    <w:rsid w:val="00BF2787"/>
    <w:rsid w:val="00BF6C1C"/>
    <w:rsid w:val="00C31E0E"/>
    <w:rsid w:val="00C32B4C"/>
    <w:rsid w:val="00C36BB2"/>
    <w:rsid w:val="00C75D04"/>
    <w:rsid w:val="00C75E19"/>
    <w:rsid w:val="00CA1228"/>
    <w:rsid w:val="00CE6887"/>
    <w:rsid w:val="00D1440A"/>
    <w:rsid w:val="00D2120F"/>
    <w:rsid w:val="00D541E1"/>
    <w:rsid w:val="00D5552A"/>
    <w:rsid w:val="00D6034E"/>
    <w:rsid w:val="00D63669"/>
    <w:rsid w:val="00D63E13"/>
    <w:rsid w:val="00D734B4"/>
    <w:rsid w:val="00D7541A"/>
    <w:rsid w:val="00DB316A"/>
    <w:rsid w:val="00DB5589"/>
    <w:rsid w:val="00DC4444"/>
    <w:rsid w:val="00DC4CF0"/>
    <w:rsid w:val="00DE2196"/>
    <w:rsid w:val="00E039DD"/>
    <w:rsid w:val="00E10746"/>
    <w:rsid w:val="00E11483"/>
    <w:rsid w:val="00E320B1"/>
    <w:rsid w:val="00E47997"/>
    <w:rsid w:val="00E634B7"/>
    <w:rsid w:val="00E66610"/>
    <w:rsid w:val="00E7462C"/>
    <w:rsid w:val="00E85E77"/>
    <w:rsid w:val="00E905DD"/>
    <w:rsid w:val="00E9359A"/>
    <w:rsid w:val="00EA52E4"/>
    <w:rsid w:val="00EA5929"/>
    <w:rsid w:val="00EC22B3"/>
    <w:rsid w:val="00EC5D89"/>
    <w:rsid w:val="00EC7B9D"/>
    <w:rsid w:val="00EE1CDC"/>
    <w:rsid w:val="00EF3604"/>
    <w:rsid w:val="00F102B5"/>
    <w:rsid w:val="00F12350"/>
    <w:rsid w:val="00F2138D"/>
    <w:rsid w:val="00F273F4"/>
    <w:rsid w:val="00F278F0"/>
    <w:rsid w:val="00F33488"/>
    <w:rsid w:val="00F460DB"/>
    <w:rsid w:val="00F60980"/>
    <w:rsid w:val="00F62611"/>
    <w:rsid w:val="00F9243F"/>
    <w:rsid w:val="00F95EC6"/>
    <w:rsid w:val="00FA5620"/>
    <w:rsid w:val="00FB1DD3"/>
    <w:rsid w:val="00FD6A0A"/>
    <w:rsid w:val="00FF3A9D"/>
    <w:rsid w:val="0500996F"/>
    <w:rsid w:val="0578DC0B"/>
    <w:rsid w:val="07F38113"/>
    <w:rsid w:val="0C3A4CB7"/>
    <w:rsid w:val="0CB84C99"/>
    <w:rsid w:val="11630A82"/>
    <w:rsid w:val="1EA8DA7A"/>
    <w:rsid w:val="207D216F"/>
    <w:rsid w:val="271115C2"/>
    <w:rsid w:val="2B52B96A"/>
    <w:rsid w:val="30E43C0A"/>
    <w:rsid w:val="35DF3D36"/>
    <w:rsid w:val="390E87B9"/>
    <w:rsid w:val="3B1B6039"/>
    <w:rsid w:val="3C585F3D"/>
    <w:rsid w:val="408BFA06"/>
    <w:rsid w:val="430F8EE0"/>
    <w:rsid w:val="43999955"/>
    <w:rsid w:val="46E85D21"/>
    <w:rsid w:val="6CAD501C"/>
    <w:rsid w:val="7653FCD3"/>
    <w:rsid w:val="7A4B0BCA"/>
    <w:rsid w:val="7B5CF13D"/>
    <w:rsid w:val="7C177573"/>
    <w:rsid w:val="7E7DC18B"/>
    <w:rsid w:val="7EAD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customStyle="1" w:styleId="paragraph">
    <w:name w:val="paragraph"/>
    <w:basedOn w:val="Normal"/>
    <w:rsid w:val="00EC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22B3"/>
  </w:style>
  <w:style w:type="character" w:customStyle="1" w:styleId="eop">
    <w:name w:val="eop"/>
    <w:basedOn w:val="DefaultParagraphFont"/>
    <w:rsid w:val="00EC22B3"/>
  </w:style>
  <w:style w:type="paragraph" w:styleId="Revision">
    <w:name w:val="Revision"/>
    <w:hidden/>
    <w:uiPriority w:val="99"/>
    <w:semiHidden/>
    <w:rsid w:val="004F1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123533"/>
    <w:rsid w:val="001418A9"/>
    <w:rsid w:val="002D0EB4"/>
    <w:rsid w:val="00306B72"/>
    <w:rsid w:val="003A10DB"/>
    <w:rsid w:val="003C6FA7"/>
    <w:rsid w:val="004B22D4"/>
    <w:rsid w:val="00630341"/>
    <w:rsid w:val="006579F1"/>
    <w:rsid w:val="00716FAA"/>
    <w:rsid w:val="0083557E"/>
    <w:rsid w:val="008D2954"/>
    <w:rsid w:val="00D1440A"/>
    <w:rsid w:val="00DE2196"/>
    <w:rsid w:val="00EE1CDC"/>
    <w:rsid w:val="00F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8401517178543B5A91B2B9A218ADD" ma:contentTypeVersion="13" ma:contentTypeDescription="Create a new document." ma:contentTypeScope="" ma:versionID="e57eac96fb9211d3225a196bc9e97678">
  <xsd:schema xmlns:xsd="http://www.w3.org/2001/XMLSchema" xmlns:xs="http://www.w3.org/2001/XMLSchema" xmlns:p="http://schemas.microsoft.com/office/2006/metadata/properties" xmlns:ns2="e2768678-41f8-4d08-998a-0cec7dd8797b" xmlns:ns3="0ccb83b6-3eb6-4518-8d85-e26aef075124" targetNamespace="http://schemas.microsoft.com/office/2006/metadata/properties" ma:root="true" ma:fieldsID="442a3787b4898ab973064628f81f3a93" ns2:_="" ns3:_="">
    <xsd:import namespace="e2768678-41f8-4d08-998a-0cec7dd8797b"/>
    <xsd:import namespace="0ccb83b6-3eb6-4518-8d85-e26aef075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8678-41f8-4d08-998a-0cec7dd8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83b6-3eb6-4518-8d85-e26aef0751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c56ec4-de81-4a36-96ab-d423ecf034db}" ma:internalName="TaxCatchAll" ma:showField="CatchAllData" ma:web="0ccb83b6-3eb6-4518-8d85-e26aef075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b83b6-3eb6-4518-8d85-e26aef075124" xsi:nil="true"/>
    <lcf76f155ced4ddcb4097134ff3c332f xmlns="e2768678-41f8-4d08-998a-0cec7dd8797b">
      <Terms xmlns="http://schemas.microsoft.com/office/infopath/2007/PartnerControls"/>
    </lcf76f155ced4ddcb4097134ff3c332f>
    <_Flow_SignoffStatus xmlns="e2768678-41f8-4d08-998a-0cec7dd8797b" xsi:nil="true"/>
  </documentManagement>
</p:properties>
</file>

<file path=customXml/itemProps1.xml><?xml version="1.0" encoding="utf-8"?>
<ds:datastoreItem xmlns:ds="http://schemas.openxmlformats.org/officeDocument/2006/customXml" ds:itemID="{BB3130A0-90B4-4D86-874A-CBD5F4222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68BBA-7730-4E53-A422-A74CB602CD9A}"/>
</file>

<file path=customXml/itemProps3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9810745-0812-4A4E-B847-D35409847D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Katie Cox</cp:lastModifiedBy>
  <cp:revision>140</cp:revision>
  <dcterms:created xsi:type="dcterms:W3CDTF">2025-12-16T09:47:00Z</dcterms:created>
  <dcterms:modified xsi:type="dcterms:W3CDTF">2026-03-16T13:09:00Z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MSIP_Label_2e5b055e-6389-4aaa-9773-d82c74c1b8d4_Enabled">
    <vt:lpwstr>true</vt:lpwstr>
  </property>
  <property fmtid="{D5CDD505-2E9C-101B-9397-08002B2CF9AE}" pid="12" name="MSIP_Label_2e5b055e-6389-4aaa-9773-d82c74c1b8d4_SetDate">
    <vt:lpwstr>2025-12-15T09:40:18Z</vt:lpwstr>
  </property>
  <property fmtid="{D5CDD505-2E9C-101B-9397-08002B2CF9AE}" pid="13" name="MSIP_Label_2e5b055e-6389-4aaa-9773-d82c74c1b8d4_Method">
    <vt:lpwstr>Privileged</vt:lpwstr>
  </property>
  <property fmtid="{D5CDD505-2E9C-101B-9397-08002B2CF9AE}" pid="14" name="MSIP_Label_2e5b055e-6389-4aaa-9773-d82c74c1b8d4_Name">
    <vt:lpwstr>Confidential</vt:lpwstr>
  </property>
  <property fmtid="{D5CDD505-2E9C-101B-9397-08002B2CF9AE}" pid="15" name="MSIP_Label_2e5b055e-6389-4aaa-9773-d82c74c1b8d4_SiteId">
    <vt:lpwstr>60e0ab8b-8c8d-4eef-b9c2-f9cb65535c28</vt:lpwstr>
  </property>
  <property fmtid="{D5CDD505-2E9C-101B-9397-08002B2CF9AE}" pid="16" name="MSIP_Label_2e5b055e-6389-4aaa-9773-d82c74c1b8d4_ActionId">
    <vt:lpwstr>10b0b4db-1159-4e37-8c9b-8f563529a8fe</vt:lpwstr>
  </property>
  <property fmtid="{D5CDD505-2E9C-101B-9397-08002B2CF9AE}" pid="17" name="MSIP_Label_2e5b055e-6389-4aaa-9773-d82c74c1b8d4_ContentBits">
    <vt:lpwstr>0</vt:lpwstr>
  </property>
  <property fmtid="{D5CDD505-2E9C-101B-9397-08002B2CF9AE}" pid="18" name="MSIP_Label_2e5b055e-6389-4aaa-9773-d82c74c1b8d4_Tag">
    <vt:lpwstr>10, 0, 1, 1</vt:lpwstr>
  </property>
  <property fmtid="{D5CDD505-2E9C-101B-9397-08002B2CF9AE}" pid="19" name="ContentTypeId">
    <vt:lpwstr>0x010100C828401517178543B5A91B2B9A218ADD</vt:lpwstr>
  </property>
</Properties>
</file>