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C50EA7" w14:paraId="2F64115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7B32111" w14:textId="77777777" w:rsidR="00F5319A" w:rsidRPr="00416BDA" w:rsidRDefault="00F5319A" w:rsidP="00B75089">
            <w:pPr>
              <w:pStyle w:val="Header"/>
              <w:spacing w:after="0"/>
              <w:ind w:left="-1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E0847F7" w14:textId="1604E94E" w:rsidR="00F5319A" w:rsidRPr="00416BDA" w:rsidRDefault="005630E1" w:rsidP="00F278B6">
            <w:pPr>
              <w:pStyle w:val="Header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Operational Resilience and Business Continuity Manager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BDB0D0" w14:textId="77777777" w:rsidR="00F5319A" w:rsidRPr="00416BDA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E34EC8F" w14:textId="69CB577D" w:rsidR="00F5319A" w:rsidRPr="0041692D" w:rsidRDefault="005E7AD8" w:rsidP="00F278B6">
            <w:pPr>
              <w:pStyle w:val="Header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TBC</w:t>
            </w:r>
          </w:p>
        </w:tc>
      </w:tr>
      <w:tr w:rsidR="00F5319A" w:rsidRPr="00C50EA7" w14:paraId="3D551D14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CFA76A6" w14:textId="77777777" w:rsidR="00F5319A" w:rsidRPr="00416BDA" w:rsidRDefault="00F5319A" w:rsidP="00B75089">
            <w:pPr>
              <w:pStyle w:val="Header"/>
              <w:spacing w:after="0"/>
              <w:ind w:left="-1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FA686B0" w14:textId="7138B967" w:rsidR="00F5319A" w:rsidRPr="00416BDA" w:rsidRDefault="008B5276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89D33F" w14:textId="77777777" w:rsidR="00F5319A" w:rsidRPr="00416BDA" w:rsidRDefault="006219B1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Department</w:t>
            </w:r>
            <w:r w:rsidR="00F5319A"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C79F267" w14:textId="76AD3E3A" w:rsidR="00F5319A" w:rsidRPr="00416BDA" w:rsidRDefault="008B5276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 Services and Governance</w:t>
            </w:r>
          </w:p>
        </w:tc>
      </w:tr>
      <w:tr w:rsidR="00F5319A" w:rsidRPr="00C50EA7" w14:paraId="0CC8AAA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54962EF" w14:textId="77777777" w:rsidR="00F5319A" w:rsidRPr="00416BDA" w:rsidRDefault="00F5319A" w:rsidP="00B75089">
            <w:pPr>
              <w:pStyle w:val="Header"/>
              <w:spacing w:after="0"/>
              <w:ind w:left="-1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B65160E" w14:textId="68F245CD" w:rsidR="00F5319A" w:rsidRPr="00416BDA" w:rsidRDefault="0096706D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  <w:p w14:paraId="4C167BF9" w14:textId="77777777" w:rsidR="00F5319A" w:rsidRPr="00416BDA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159ECE96" w14:textId="77777777" w:rsidR="00F5319A" w:rsidRPr="00416BDA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867FCC7" w14:textId="77777777" w:rsidR="00F5319A" w:rsidRPr="00416BDA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8591F2F" w14:textId="77777777" w:rsidR="00F5319A" w:rsidRPr="00416BDA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C18FBFA" w14:textId="6F3926C9" w:rsidR="00B75089" w:rsidRPr="00416BDA" w:rsidRDefault="00607D7E" w:rsidP="00F278B6">
            <w:pPr>
              <w:pStyle w:val="Header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 xml:space="preserve">Global </w:t>
            </w:r>
          </w:p>
          <w:p w14:paraId="158790BF" w14:textId="77777777" w:rsidR="006505B7" w:rsidRPr="00416BDA" w:rsidRDefault="006505B7" w:rsidP="006505B7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319A" w:rsidRPr="00C50EA7" w14:paraId="228BBC4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47BC83" w14:textId="77777777" w:rsidR="00F5319A" w:rsidRPr="0041692D" w:rsidRDefault="00F5319A" w:rsidP="00B75089">
            <w:pPr>
              <w:pStyle w:val="Header"/>
              <w:spacing w:after="0"/>
              <w:ind w:left="-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0179A06" w14:textId="77777777" w:rsidR="00F5319A" w:rsidRPr="0041692D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47CA701" w14:textId="77777777" w:rsidR="00F5319A" w:rsidRPr="0041692D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92D">
              <w:rPr>
                <w:rFonts w:asciiTheme="minorHAnsi" w:hAnsiTheme="minorHAnsi" w:cstheme="minorHAnsi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8FD900B" w14:textId="3BCCD93F" w:rsidR="00F5319A" w:rsidRPr="0041692D" w:rsidRDefault="00396455" w:rsidP="00F159D0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direct reports or direct budget accountability</w:t>
            </w:r>
          </w:p>
        </w:tc>
      </w:tr>
      <w:tr w:rsidR="00F5319A" w:rsidRPr="00C50EA7" w14:paraId="4EA12F6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C2D82B" w14:textId="77777777" w:rsidR="00F5319A" w:rsidRPr="0041692D" w:rsidRDefault="00F5319A" w:rsidP="00B75089">
            <w:pPr>
              <w:pStyle w:val="Header"/>
              <w:spacing w:after="0"/>
              <w:ind w:left="-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EEBC46E" w14:textId="77777777" w:rsidR="00F5319A" w:rsidRPr="0041692D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DBB5DC" w14:textId="77777777" w:rsidR="00F5319A" w:rsidRPr="0041692D" w:rsidRDefault="007E7CA1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169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Regulated Function(s) </w:t>
            </w:r>
            <w:r w:rsidR="00F5319A" w:rsidRPr="0041692D">
              <w:rPr>
                <w:rFonts w:asciiTheme="minorHAnsi" w:hAnsiTheme="minorHAnsi" w:cstheme="minorHAnsi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8DC832D" w14:textId="77777777" w:rsidR="00F5319A" w:rsidRPr="0041692D" w:rsidRDefault="00F5319A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1692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C50EA7" w14:paraId="230EC43E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18A4B5B9" w14:textId="77777777" w:rsidR="007E7CA1" w:rsidRPr="00416BDA" w:rsidRDefault="007E7CA1" w:rsidP="00B75089">
            <w:pPr>
              <w:pStyle w:val="Header"/>
              <w:spacing w:after="0"/>
              <w:ind w:left="-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1DC473D" w14:textId="70233F77" w:rsidR="007E7CA1" w:rsidRPr="00416BDA" w:rsidRDefault="005E7AD8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Implement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59825" w14:textId="77777777" w:rsidR="007E7CA1" w:rsidRPr="00416BDA" w:rsidRDefault="007E7CA1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DCAAAFF" w14:textId="5E01D06C" w:rsidR="007E7CA1" w:rsidRPr="00416BDA" w:rsidRDefault="005E7AD8" w:rsidP="00B75089">
            <w:pPr>
              <w:pStyle w:val="Header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Group </w:t>
            </w:r>
            <w:r w:rsidR="00211DD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Corporate Services</w:t>
            </w:r>
          </w:p>
        </w:tc>
      </w:tr>
    </w:tbl>
    <w:p w14:paraId="088B3C91" w14:textId="77777777" w:rsidR="00F5319A" w:rsidRPr="00416BDA" w:rsidRDefault="00F5319A" w:rsidP="00B75089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C50EA7" w14:paraId="46FD6231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609F496F" w14:textId="77777777" w:rsidR="009E22D0" w:rsidRPr="00416BDA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D12175" w14:textId="77777777" w:rsidR="009E22D0" w:rsidRPr="00416BDA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Overall</w:t>
            </w:r>
            <w:proofErr w:type="gramEnd"/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C50EA7" w14:paraId="5B4418D0" w14:textId="77777777" w:rsidTr="009E22D0">
        <w:trPr>
          <w:trHeight w:val="693"/>
        </w:trPr>
        <w:tc>
          <w:tcPr>
            <w:tcW w:w="10509" w:type="dxa"/>
          </w:tcPr>
          <w:p w14:paraId="01ACBFBB" w14:textId="29A139A5" w:rsidR="004152C1" w:rsidRPr="00416BDA" w:rsidRDefault="008B5276" w:rsidP="001E0B8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52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purpose of this role is to lead the </w:t>
            </w:r>
            <w:proofErr w:type="spellStart"/>
            <w:r w:rsidRPr="008B52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organisation’s</w:t>
            </w:r>
            <w:proofErr w:type="spellEnd"/>
            <w:r w:rsidRPr="008B52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global crisis management and business continuity strategy, ensuring resilience against operational disruptions and safeguarding member and colleague experience. The role will</w:t>
            </w:r>
            <w:r w:rsidR="001E0B8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bring external best practice to MPS and </w:t>
            </w:r>
            <w:proofErr w:type="spellStart"/>
            <w:r w:rsidR="001E0B8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utilise</w:t>
            </w:r>
            <w:proofErr w:type="spellEnd"/>
            <w:r w:rsidR="001E0B8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this to</w:t>
            </w:r>
            <w:r w:rsidRPr="008B52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design, implement, and maintain robust frameworks for crisis response, disaster recovery, and continuity planning, working closely with senior leadership and cross-functional teams to mitigate risk and ensure rapid recovery during incidents.</w:t>
            </w:r>
          </w:p>
        </w:tc>
      </w:tr>
    </w:tbl>
    <w:p w14:paraId="5E78C006" w14:textId="77777777" w:rsidR="009E22D0" w:rsidRPr="00416BDA" w:rsidRDefault="009E22D0" w:rsidP="00B75089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C50EA7" w14:paraId="6BD19394" w14:textId="77777777" w:rsidTr="00573540">
        <w:trPr>
          <w:trHeight w:val="714"/>
        </w:trPr>
        <w:tc>
          <w:tcPr>
            <w:tcW w:w="6346" w:type="dxa"/>
            <w:shd w:val="clear" w:color="auto" w:fill="D9D9D9" w:themeFill="background1" w:themeFillShade="D9"/>
          </w:tcPr>
          <w:p w14:paraId="596B9C91" w14:textId="77777777" w:rsidR="009E22D0" w:rsidRPr="00416BDA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624038" w14:textId="77777777" w:rsidR="009E22D0" w:rsidRPr="00416BDA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Accountabilities (R</w:t>
            </w:r>
            <w:r w:rsidRPr="00416BD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</w:t>
            </w: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24465A25" w14:textId="77777777" w:rsidR="009E22D0" w:rsidRPr="00416BDA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FD00F4" w14:textId="77777777" w:rsidR="009E22D0" w:rsidRPr="00416BDA" w:rsidRDefault="009E22D0" w:rsidP="001F2FC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Measures of Success/KPI’s</w:t>
            </w:r>
          </w:p>
          <w:p w14:paraId="3A1A5D5E" w14:textId="77777777" w:rsidR="00717094" w:rsidRPr="00416BDA" w:rsidRDefault="00717094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7CB8FD" w14:textId="77777777" w:rsidR="009E22D0" w:rsidRPr="00416BDA" w:rsidRDefault="009E22D0" w:rsidP="00032C4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22D0" w:rsidRPr="00C50EA7" w14:paraId="16439EF0" w14:textId="77777777" w:rsidTr="009E22D0">
        <w:trPr>
          <w:trHeight w:val="578"/>
        </w:trPr>
        <w:tc>
          <w:tcPr>
            <w:tcW w:w="6346" w:type="dxa"/>
          </w:tcPr>
          <w:p w14:paraId="62179484" w14:textId="77777777" w:rsidR="0056188D" w:rsidRPr="00416BDA" w:rsidRDefault="00AB7C93" w:rsidP="004A1FC8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416BD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Operational</w:t>
            </w:r>
          </w:p>
          <w:p w14:paraId="09DB8E88" w14:textId="325169FD" w:rsidR="008B5276" w:rsidRPr="007C574E" w:rsidRDefault="008B5276" w:rsidP="00CB1C2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 w:rsidRPr="008B5276">
              <w:rPr>
                <w:rFonts w:cstheme="minorHAnsi"/>
                <w:sz w:val="20"/>
                <w:szCs w:val="20"/>
              </w:rPr>
              <w:t>Develop and maintain a global Crisis Management Framework and Business Continuity Plan</w:t>
            </w:r>
            <w:r w:rsidR="007C574E">
              <w:rPr>
                <w:rFonts w:cstheme="minorHAnsi"/>
                <w:sz w:val="20"/>
                <w:szCs w:val="20"/>
              </w:rPr>
              <w:t>s</w:t>
            </w:r>
            <w:r w:rsidRPr="008B5276">
              <w:rPr>
                <w:rFonts w:cstheme="minorHAnsi"/>
                <w:sz w:val="20"/>
                <w:szCs w:val="20"/>
              </w:rPr>
              <w:t xml:space="preserve"> (BCP). </w:t>
            </w:r>
          </w:p>
          <w:p w14:paraId="0DA8430C" w14:textId="174F0C5D" w:rsidR="007C574E" w:rsidRPr="008B5276" w:rsidRDefault="007C574E" w:rsidP="00CB1C2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Develop, deploy and maintain a business resilience strategy across MPS</w:t>
            </w:r>
            <w:r w:rsidR="008D7152">
              <w:rPr>
                <w:rFonts w:cstheme="minorHAnsi"/>
                <w:sz w:val="20"/>
                <w:szCs w:val="20"/>
              </w:rPr>
              <w:t xml:space="preserve">, ensuring </w:t>
            </w:r>
            <w:r w:rsidR="00DD2396">
              <w:rPr>
                <w:rFonts w:cstheme="minorHAnsi"/>
                <w:sz w:val="20"/>
                <w:szCs w:val="20"/>
              </w:rPr>
              <w:t xml:space="preserve">clear </w:t>
            </w:r>
            <w:r w:rsidR="00294A4E">
              <w:rPr>
                <w:rFonts w:cstheme="minorHAnsi"/>
                <w:sz w:val="20"/>
                <w:szCs w:val="20"/>
              </w:rPr>
              <w:t xml:space="preserve">integrated </w:t>
            </w:r>
            <w:r w:rsidR="00DD2396">
              <w:rPr>
                <w:rFonts w:cstheme="minorHAnsi"/>
                <w:sz w:val="20"/>
                <w:szCs w:val="20"/>
              </w:rPr>
              <w:t>operating model and roles &amp; responsibilities across the 3 dimensions of Operational Resilience, Business Continuity and IT Disaster Recovery.</w:t>
            </w:r>
          </w:p>
          <w:p w14:paraId="2EF715E5" w14:textId="77777777" w:rsidR="00491696" w:rsidRPr="00971000" w:rsidRDefault="00491696" w:rsidP="00CB1C2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971000">
              <w:rPr>
                <w:rFonts w:cstheme="minorHAnsi"/>
                <w:sz w:val="20"/>
                <w:szCs w:val="20"/>
              </w:rPr>
              <w:t>Develop and maintain crisis communication protocols. Ensure alignment of continuity plans with business objectives and regulatory requirements.</w:t>
            </w:r>
          </w:p>
          <w:p w14:paraId="25FBF66E" w14:textId="53BE39A8" w:rsidR="008B5276" w:rsidRPr="008B5276" w:rsidRDefault="008B5276" w:rsidP="00CB1C2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 w:rsidRPr="008B5276">
              <w:rPr>
                <w:rFonts w:cstheme="minorHAnsi"/>
                <w:sz w:val="20"/>
                <w:szCs w:val="20"/>
              </w:rPr>
              <w:t>Lead</w:t>
            </w:r>
            <w:r w:rsidR="00B11568">
              <w:rPr>
                <w:rFonts w:cstheme="minorHAnsi"/>
                <w:sz w:val="20"/>
                <w:szCs w:val="20"/>
              </w:rPr>
              <w:t xml:space="preserve"> global</w:t>
            </w:r>
            <w:r w:rsidRPr="008B5276">
              <w:rPr>
                <w:rFonts w:cstheme="minorHAnsi"/>
                <w:sz w:val="20"/>
                <w:szCs w:val="20"/>
              </w:rPr>
              <w:t xml:space="preserve"> crisis response during major incidents, ensuring effective communication and decision-making. </w:t>
            </w:r>
          </w:p>
          <w:p w14:paraId="0715987A" w14:textId="77777777" w:rsidR="005C41B7" w:rsidRPr="00971000" w:rsidRDefault="005C41B7" w:rsidP="00CB1C2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971000">
              <w:rPr>
                <w:rFonts w:cstheme="minorHAnsi"/>
                <w:sz w:val="20"/>
                <w:szCs w:val="20"/>
              </w:rPr>
              <w:t>Collaborate with senior leadership to embed</w:t>
            </w:r>
            <w:r>
              <w:rPr>
                <w:rFonts w:cstheme="minorHAnsi"/>
                <w:sz w:val="20"/>
                <w:szCs w:val="20"/>
              </w:rPr>
              <w:t xml:space="preserve"> and integrate</w:t>
            </w:r>
            <w:r w:rsidRPr="00971000">
              <w:rPr>
                <w:rFonts w:cstheme="minorHAnsi"/>
                <w:sz w:val="20"/>
                <w:szCs w:val="20"/>
              </w:rPr>
              <w:t xml:space="preserve"> resilience principles into </w:t>
            </w:r>
            <w:r>
              <w:rPr>
                <w:rFonts w:cstheme="minorHAnsi"/>
                <w:sz w:val="20"/>
                <w:szCs w:val="20"/>
              </w:rPr>
              <w:t>the organisation</w:t>
            </w:r>
            <w:r w:rsidRPr="00971000">
              <w:rPr>
                <w:rFonts w:cstheme="minorHAnsi"/>
                <w:sz w:val="20"/>
                <w:szCs w:val="20"/>
              </w:rPr>
              <w:t>.</w:t>
            </w:r>
          </w:p>
          <w:p w14:paraId="4CD69110" w14:textId="77777777" w:rsidR="00CB1C24" w:rsidRPr="00DA096F" w:rsidRDefault="00CB1C24" w:rsidP="00CB1C2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20"/>
              </w:rPr>
            </w:pPr>
            <w:r w:rsidRPr="00DA096F">
              <w:rPr>
                <w:rFonts w:cstheme="minorHAnsi"/>
                <w:sz w:val="20"/>
              </w:rPr>
              <w:t>Identify areas for improvement in operational resilience practices, leveraging lessons learned from testing, incidents, and risk assessments to enhance preparedness.</w:t>
            </w:r>
          </w:p>
          <w:p w14:paraId="300EDAB7" w14:textId="22CE0A5E" w:rsidR="008B5276" w:rsidRPr="008B5276" w:rsidRDefault="008B5276" w:rsidP="00CB1C24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 w:rsidRPr="008B5276">
              <w:rPr>
                <w:rFonts w:cstheme="minorHAnsi"/>
                <w:sz w:val="20"/>
                <w:szCs w:val="20"/>
              </w:rPr>
              <w:t xml:space="preserve">Coordinate scenario planning, tabletop exercises, and simulations across all business units. </w:t>
            </w:r>
          </w:p>
          <w:p w14:paraId="38999113" w14:textId="77777777" w:rsidR="00F71210" w:rsidRDefault="008B5276" w:rsidP="00F71210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cstheme="minorHAnsi"/>
                <w:sz w:val="20"/>
              </w:rPr>
            </w:pPr>
            <w:r w:rsidRPr="00D11FC9">
              <w:rPr>
                <w:sz w:val="20"/>
                <w:szCs w:val="20"/>
              </w:rPr>
              <w:t>Ensure compliance with regulatory standards and internal risk appetite.</w:t>
            </w:r>
            <w:r w:rsidR="00F71210" w:rsidRPr="00DA096F">
              <w:rPr>
                <w:rFonts w:cstheme="minorHAnsi"/>
                <w:sz w:val="20"/>
              </w:rPr>
              <w:t xml:space="preserve"> </w:t>
            </w:r>
          </w:p>
          <w:p w14:paraId="690BF927" w14:textId="17118652" w:rsidR="00DF1556" w:rsidRPr="00F71210" w:rsidRDefault="00F71210" w:rsidP="00F71210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cstheme="minorHAnsi"/>
                <w:sz w:val="20"/>
              </w:rPr>
            </w:pPr>
            <w:r w:rsidRPr="00DA096F">
              <w:rPr>
                <w:rFonts w:cstheme="minorHAnsi"/>
                <w:sz w:val="20"/>
              </w:rPr>
              <w:t>Ensure all documentation related to resilience and continuity, including annual self- assessment, policies, procedures, and plans, is current, accurate, and effectively communicated to relevant stakeholders.</w:t>
            </w:r>
          </w:p>
        </w:tc>
        <w:tc>
          <w:tcPr>
            <w:tcW w:w="4141" w:type="dxa"/>
          </w:tcPr>
          <w:p w14:paraId="0B6244AF" w14:textId="77777777" w:rsidR="00C91CFA" w:rsidRPr="00416BDA" w:rsidRDefault="00C91CFA" w:rsidP="004A1FC8">
            <w:pPr>
              <w:spacing w:after="0" w:line="240" w:lineRule="auto"/>
              <w:ind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6AF9B98" w14:textId="7F344485" w:rsidR="007C574E" w:rsidRDefault="007C574E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7C574E">
              <w:rPr>
                <w:rFonts w:cstheme="minorHAnsi"/>
                <w:sz w:val="20"/>
                <w:szCs w:val="20"/>
              </w:rPr>
              <w:t>Successful execution of crisis response plans</w:t>
            </w:r>
          </w:p>
          <w:p w14:paraId="1EA019CF" w14:textId="35E5D843" w:rsidR="007C574E" w:rsidRDefault="007C574E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7C574E">
              <w:rPr>
                <w:rFonts w:cstheme="minorHAnsi"/>
                <w:sz w:val="20"/>
                <w:szCs w:val="20"/>
              </w:rPr>
              <w:t>Compliance with regulatory and audit requirements</w:t>
            </w:r>
          </w:p>
          <w:p w14:paraId="5E69E188" w14:textId="1456AA74" w:rsidR="007C574E" w:rsidRDefault="007C574E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7C574E">
              <w:rPr>
                <w:rFonts w:cstheme="minorHAnsi"/>
                <w:sz w:val="20"/>
                <w:szCs w:val="20"/>
              </w:rPr>
              <w:t>Timely recovery of critical services post-incident</w:t>
            </w:r>
          </w:p>
          <w:p w14:paraId="761B7425" w14:textId="177E1E60" w:rsidR="00760932" w:rsidRPr="00416BDA" w:rsidRDefault="001E0B81" w:rsidP="004A1FC8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7C574E" w:rsidRPr="007C574E">
              <w:rPr>
                <w:rFonts w:cstheme="minorHAnsi"/>
                <w:sz w:val="20"/>
                <w:szCs w:val="20"/>
              </w:rPr>
              <w:t>takeholder feedback.</w:t>
            </w:r>
          </w:p>
        </w:tc>
      </w:tr>
      <w:tr w:rsidR="009E22D0" w:rsidRPr="00C50EA7" w14:paraId="39FC82A7" w14:textId="77777777" w:rsidTr="009E22D0">
        <w:trPr>
          <w:trHeight w:val="578"/>
        </w:trPr>
        <w:tc>
          <w:tcPr>
            <w:tcW w:w="6346" w:type="dxa"/>
          </w:tcPr>
          <w:p w14:paraId="3B351B74" w14:textId="77777777" w:rsidR="00BD0A3F" w:rsidRPr="00416BDA" w:rsidRDefault="00BD0A3F" w:rsidP="00047598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416BD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Financial</w:t>
            </w:r>
          </w:p>
          <w:p w14:paraId="49D20FB7" w14:textId="77777777" w:rsidR="00C50EA7" w:rsidRDefault="007C574E" w:rsidP="00A47BE4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  <w:r w:rsidRPr="007C574E">
              <w:rPr>
                <w:rFonts w:cstheme="minorHAnsi"/>
                <w:sz w:val="20"/>
                <w:szCs w:val="20"/>
              </w:rPr>
              <w:lastRenderedPageBreak/>
              <w:t>Manage continuity-related budgets and ensure cost-effective resilience measures</w:t>
            </w:r>
          </w:p>
          <w:p w14:paraId="4B1146CF" w14:textId="3E52BA82" w:rsidR="001E0B81" w:rsidRPr="00416BDA" w:rsidRDefault="001E0B81" w:rsidP="00A47BE4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  <w:r w:rsidRPr="001E0B81">
              <w:rPr>
                <w:rFonts w:cstheme="minorHAnsi"/>
                <w:sz w:val="20"/>
                <w:szCs w:val="20"/>
              </w:rPr>
              <w:t>Ensure that all spend is managed within organisation policy, &amp; any variance to policy or budget is appropriately reported and escalated</w:t>
            </w:r>
          </w:p>
        </w:tc>
        <w:tc>
          <w:tcPr>
            <w:tcW w:w="4141" w:type="dxa"/>
          </w:tcPr>
          <w:p w14:paraId="675395F1" w14:textId="77777777" w:rsidR="00A2156C" w:rsidRPr="007C574E" w:rsidRDefault="00A2156C" w:rsidP="007C574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AC3192" w14:textId="77777777" w:rsidR="009E22D0" w:rsidRPr="00416BDA" w:rsidRDefault="009E22D0" w:rsidP="00047598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416BDA">
              <w:rPr>
                <w:rFonts w:cstheme="minorHAnsi"/>
                <w:sz w:val="20"/>
                <w:szCs w:val="20"/>
              </w:rPr>
              <w:t>Operational budget Vs Plan</w:t>
            </w:r>
          </w:p>
          <w:p w14:paraId="44F65A8C" w14:textId="77777777" w:rsidR="009E22D0" w:rsidRPr="00416BDA" w:rsidRDefault="009E22D0" w:rsidP="00047598">
            <w:pPr>
              <w:pStyle w:val="ListParagraph"/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</w:p>
        </w:tc>
      </w:tr>
      <w:tr w:rsidR="009E22D0" w:rsidRPr="00C50EA7" w14:paraId="23A2DDE9" w14:textId="77777777" w:rsidTr="009E22D0">
        <w:trPr>
          <w:trHeight w:val="578"/>
        </w:trPr>
        <w:tc>
          <w:tcPr>
            <w:tcW w:w="6346" w:type="dxa"/>
          </w:tcPr>
          <w:p w14:paraId="272D19AF" w14:textId="08A2AE75" w:rsidR="009E22D0" w:rsidRPr="00416BDA" w:rsidRDefault="009E22D0" w:rsidP="000475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Member</w:t>
            </w:r>
          </w:p>
          <w:p w14:paraId="58945DF8" w14:textId="0AEC596C" w:rsidR="004A1FC8" w:rsidRPr="00416BDA" w:rsidRDefault="004A1FC8" w:rsidP="00047598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  <w:r w:rsidRPr="00416BDA">
              <w:rPr>
                <w:rFonts w:cstheme="minorHAnsi"/>
                <w:sz w:val="20"/>
                <w:szCs w:val="20"/>
              </w:rPr>
              <w:t xml:space="preserve">Develop and deliver all necessary systems, policies and procedures which enable safe </w:t>
            </w:r>
            <w:r w:rsidR="00A47BE4" w:rsidRPr="00416BDA">
              <w:rPr>
                <w:rFonts w:cstheme="minorHAnsi"/>
                <w:sz w:val="20"/>
                <w:szCs w:val="20"/>
              </w:rPr>
              <w:t>office</w:t>
            </w:r>
            <w:r w:rsidRPr="00416BDA">
              <w:rPr>
                <w:rFonts w:cstheme="minorHAnsi"/>
                <w:sz w:val="20"/>
                <w:szCs w:val="20"/>
              </w:rPr>
              <w:t xml:space="preserve"> environments, ensure that activities comply with the necessary regulatory and legal standards and deliver exceptional service for all stakeholders.</w:t>
            </w:r>
          </w:p>
          <w:p w14:paraId="083F2053" w14:textId="446C42B2" w:rsidR="009E22D0" w:rsidRPr="00416BDA" w:rsidRDefault="00005F7A" w:rsidP="00047598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 w:rsidRPr="00416BDA">
              <w:rPr>
                <w:rFonts w:cstheme="minorHAnsi"/>
                <w:sz w:val="20"/>
                <w:szCs w:val="20"/>
              </w:rPr>
              <w:t xml:space="preserve">Seek opportunities to improve </w:t>
            </w:r>
            <w:r w:rsidR="00134995" w:rsidRPr="00416BDA">
              <w:rPr>
                <w:rFonts w:cstheme="minorHAnsi"/>
                <w:sz w:val="20"/>
                <w:szCs w:val="20"/>
              </w:rPr>
              <w:t>ways of working</w:t>
            </w:r>
            <w:r w:rsidR="008E7175" w:rsidRPr="00416BDA">
              <w:rPr>
                <w:rFonts w:cstheme="minorHAnsi"/>
                <w:sz w:val="20"/>
                <w:szCs w:val="20"/>
              </w:rPr>
              <w:t xml:space="preserve"> such as systems and processes</w:t>
            </w:r>
            <w:r w:rsidR="00134995" w:rsidRPr="00416BDA">
              <w:rPr>
                <w:rFonts w:cstheme="minorHAnsi"/>
                <w:sz w:val="20"/>
                <w:szCs w:val="20"/>
              </w:rPr>
              <w:t xml:space="preserve"> </w:t>
            </w:r>
            <w:r w:rsidR="008E7175" w:rsidRPr="00416BDA">
              <w:rPr>
                <w:rFonts w:cstheme="minorHAnsi"/>
                <w:sz w:val="20"/>
                <w:szCs w:val="20"/>
              </w:rPr>
              <w:t xml:space="preserve">to improve working practice and </w:t>
            </w:r>
            <w:r w:rsidR="001F2FCA" w:rsidRPr="00416BDA">
              <w:rPr>
                <w:rFonts w:cstheme="minorHAnsi"/>
                <w:sz w:val="20"/>
                <w:szCs w:val="20"/>
              </w:rPr>
              <w:t>driv</w:t>
            </w:r>
            <w:r w:rsidR="008E7175" w:rsidRPr="00416BDA">
              <w:rPr>
                <w:rFonts w:cstheme="minorHAnsi"/>
                <w:sz w:val="20"/>
                <w:szCs w:val="20"/>
              </w:rPr>
              <w:t>e</w:t>
            </w:r>
            <w:r w:rsidR="001F2FCA" w:rsidRPr="00416BDA">
              <w:rPr>
                <w:rFonts w:cstheme="minorHAnsi"/>
                <w:sz w:val="20"/>
                <w:szCs w:val="20"/>
              </w:rPr>
              <w:t xml:space="preserve"> operational efficiency</w:t>
            </w:r>
            <w:r w:rsidR="00134995" w:rsidRPr="00416BDA">
              <w:rPr>
                <w:rFonts w:cstheme="minorHAnsi"/>
                <w:sz w:val="20"/>
                <w:szCs w:val="20"/>
              </w:rPr>
              <w:t xml:space="preserve"> and outcomes for a good member experience</w:t>
            </w:r>
            <w:r w:rsidR="00924CE9" w:rsidRPr="00416BD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16F48F9B" w14:textId="77777777" w:rsidR="00134995" w:rsidRPr="00416BDA" w:rsidRDefault="00134995" w:rsidP="00047598">
            <w:pPr>
              <w:pStyle w:val="ListParagraph"/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</w:p>
          <w:p w14:paraId="123FFC46" w14:textId="3B8FCE92" w:rsidR="009E22D0" w:rsidRPr="00416BDA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416BDA">
              <w:rPr>
                <w:rFonts w:cstheme="minorHAnsi"/>
                <w:sz w:val="20"/>
                <w:szCs w:val="20"/>
              </w:rPr>
              <w:t>Stakeholder feedback via helpdesk</w:t>
            </w:r>
          </w:p>
          <w:p w14:paraId="15026265" w14:textId="43C99A09" w:rsidR="00BE066C" w:rsidRPr="00416BDA" w:rsidRDefault="00BE066C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416BDA">
              <w:rPr>
                <w:rFonts w:cstheme="minorHAnsi"/>
                <w:sz w:val="20"/>
                <w:szCs w:val="20"/>
              </w:rPr>
              <w:t>Helpdesk SLAs</w:t>
            </w:r>
          </w:p>
          <w:p w14:paraId="0356DCA0" w14:textId="77777777" w:rsidR="00134995" w:rsidRPr="00416BDA" w:rsidRDefault="00134995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416BDA">
              <w:rPr>
                <w:rFonts w:cstheme="minorHAnsi"/>
                <w:sz w:val="20"/>
                <w:szCs w:val="20"/>
              </w:rPr>
              <w:t xml:space="preserve">Net promotor score </w:t>
            </w:r>
          </w:p>
          <w:p w14:paraId="78C7CA25" w14:textId="33130F18" w:rsidR="00134995" w:rsidRPr="00416BDA" w:rsidRDefault="00134995" w:rsidP="0004759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hanging="357"/>
              <w:rPr>
                <w:rFonts w:cstheme="minorHAnsi"/>
                <w:sz w:val="20"/>
                <w:szCs w:val="20"/>
              </w:rPr>
            </w:pPr>
            <w:r w:rsidRPr="00416BDA">
              <w:rPr>
                <w:rFonts w:cstheme="minorHAnsi"/>
                <w:sz w:val="20"/>
                <w:szCs w:val="20"/>
              </w:rPr>
              <w:t>Member feedback</w:t>
            </w:r>
          </w:p>
        </w:tc>
      </w:tr>
      <w:tr w:rsidR="009E22D0" w:rsidRPr="00C50EA7" w14:paraId="355C7D3F" w14:textId="77777777" w:rsidTr="009E22D0">
        <w:trPr>
          <w:trHeight w:val="591"/>
        </w:trPr>
        <w:tc>
          <w:tcPr>
            <w:tcW w:w="6346" w:type="dxa"/>
          </w:tcPr>
          <w:p w14:paraId="0DB9257F" w14:textId="77777777" w:rsidR="00DD7726" w:rsidRPr="00416BDA" w:rsidRDefault="009E22D0" w:rsidP="000475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People</w:t>
            </w:r>
          </w:p>
          <w:p w14:paraId="24A08407" w14:textId="6F0FCF3D" w:rsidR="00C50EA7" w:rsidRPr="0041692D" w:rsidRDefault="00AF6A8C" w:rsidP="00774919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Take personal accountability for own </w:t>
            </w:r>
            <w:r w:rsidR="00E016DE" w:rsidRPr="00416BDA">
              <w:rPr>
                <w:rFonts w:cstheme="minorHAnsi"/>
                <w:sz w:val="20"/>
                <w:szCs w:val="20"/>
              </w:rPr>
              <w:t xml:space="preserve">training, </w:t>
            </w:r>
            <w:r>
              <w:rPr>
                <w:rFonts w:cstheme="minorHAnsi"/>
                <w:sz w:val="20"/>
                <w:szCs w:val="20"/>
              </w:rPr>
              <w:t xml:space="preserve">development </w:t>
            </w:r>
            <w:r w:rsidR="00E016DE" w:rsidRPr="00416BDA">
              <w:rPr>
                <w:rFonts w:cstheme="minorHAnsi"/>
                <w:sz w:val="20"/>
                <w:szCs w:val="20"/>
              </w:rPr>
              <w:t>competence</w:t>
            </w:r>
            <w:r>
              <w:rPr>
                <w:rFonts w:cstheme="minorHAnsi"/>
                <w:sz w:val="20"/>
                <w:szCs w:val="20"/>
              </w:rPr>
              <w:t xml:space="preserve"> and</w:t>
            </w:r>
            <w:r w:rsidR="00E016DE" w:rsidRPr="00416BDA">
              <w:rPr>
                <w:rFonts w:cstheme="minorHAnsi"/>
                <w:sz w:val="20"/>
                <w:szCs w:val="20"/>
              </w:rPr>
              <w:t xml:space="preserve"> performance </w:t>
            </w:r>
            <w:r>
              <w:rPr>
                <w:rFonts w:cstheme="minorHAnsi"/>
                <w:sz w:val="20"/>
                <w:szCs w:val="20"/>
              </w:rPr>
              <w:t>in role</w:t>
            </w:r>
            <w:r w:rsidR="00E016DE" w:rsidRPr="00416BDA">
              <w:rPr>
                <w:rFonts w:cstheme="minorHAnsi"/>
                <w:sz w:val="20"/>
                <w:szCs w:val="20"/>
              </w:rPr>
              <w:t>.</w:t>
            </w:r>
          </w:p>
          <w:p w14:paraId="284A79E4" w14:textId="7ECEFFDA" w:rsidR="00BC037D" w:rsidRPr="0078717A" w:rsidRDefault="001E0B81" w:rsidP="00047598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600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Build strong relationships with stakeholders and s</w:t>
            </w:r>
            <w:r w:rsidR="00BC037D" w:rsidRPr="00BC037D">
              <w:rPr>
                <w:rFonts w:cstheme="minorHAnsi"/>
                <w:sz w:val="20"/>
                <w:szCs w:val="20"/>
                <w:lang w:val="en-US"/>
              </w:rPr>
              <w:t xml:space="preserve">upport with </w:t>
            </w:r>
            <w:r w:rsidR="00BC037D">
              <w:rPr>
                <w:rFonts w:cstheme="minorHAnsi"/>
                <w:sz w:val="20"/>
                <w:szCs w:val="20"/>
                <w:lang w:val="en-US"/>
              </w:rPr>
              <w:t>colleagues and colleague cohorts</w:t>
            </w:r>
            <w:r w:rsidR="00BC037D" w:rsidRPr="00BC037D">
              <w:rPr>
                <w:rFonts w:cstheme="minorHAnsi"/>
                <w:sz w:val="20"/>
                <w:szCs w:val="20"/>
                <w:lang w:val="en-US"/>
              </w:rPr>
              <w:t xml:space="preserve"> training to ensure they fully understand their roles and responsibilities during disruptions</w:t>
            </w:r>
          </w:p>
          <w:p w14:paraId="2B8EF742" w14:textId="4932715C" w:rsidR="00801A7C" w:rsidRPr="00416BDA" w:rsidRDefault="0078717A" w:rsidP="0078717A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ind w:left="600" w:hanging="284"/>
              <w:rPr>
                <w:rFonts w:cstheme="minorHAnsi"/>
                <w:sz w:val="20"/>
                <w:szCs w:val="20"/>
              </w:rPr>
            </w:pPr>
            <w:r w:rsidRPr="0078717A">
              <w:rPr>
                <w:rFonts w:cstheme="minorHAnsi"/>
                <w:sz w:val="20"/>
                <w:szCs w:val="20"/>
              </w:rPr>
              <w:t>Take an active role / support in promoting a more inclusive environment, which aligns with our commitment to celebrate and promote diversity</w:t>
            </w:r>
          </w:p>
        </w:tc>
        <w:tc>
          <w:tcPr>
            <w:tcW w:w="4141" w:type="dxa"/>
          </w:tcPr>
          <w:p w14:paraId="7780177A" w14:textId="77777777" w:rsidR="00DD7726" w:rsidRPr="00416BDA" w:rsidRDefault="00DD7726" w:rsidP="00047598">
            <w:pPr>
              <w:spacing w:after="0" w:line="240" w:lineRule="auto"/>
              <w:ind w:left="3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1700E" w14:textId="34700105" w:rsidR="0078717A" w:rsidRDefault="0078717A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Stakeholder feedback</w:t>
            </w:r>
          </w:p>
          <w:p w14:paraId="455F1248" w14:textId="6111F52F" w:rsidR="0078717A" w:rsidRDefault="0078717A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Performance ratings</w:t>
            </w:r>
          </w:p>
          <w:p w14:paraId="087C2DEA" w14:textId="094E8931" w:rsidR="0078717A" w:rsidRPr="00416BDA" w:rsidRDefault="00AF6A8C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Robust PDP</w:t>
            </w:r>
          </w:p>
          <w:p w14:paraId="2CB44479" w14:textId="77777777" w:rsidR="009E22D0" w:rsidRDefault="009E22D0" w:rsidP="00047598">
            <w:pPr>
              <w:tabs>
                <w:tab w:val="left" w:pos="314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F5A3F" w:rsidRPr="00416B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BEBEFD4" w14:textId="77ED2DE6" w:rsidR="0078717A" w:rsidRPr="00416BDA" w:rsidRDefault="0078717A" w:rsidP="00047598">
            <w:pPr>
              <w:tabs>
                <w:tab w:val="left" w:pos="314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2D0" w:rsidRPr="00C50EA7" w14:paraId="02FC3F95" w14:textId="77777777" w:rsidTr="009E22D0">
        <w:trPr>
          <w:trHeight w:val="591"/>
        </w:trPr>
        <w:tc>
          <w:tcPr>
            <w:tcW w:w="6346" w:type="dxa"/>
          </w:tcPr>
          <w:p w14:paraId="383D9C93" w14:textId="20497E01" w:rsidR="009E22D0" w:rsidRPr="00416BDA" w:rsidRDefault="009E22D0" w:rsidP="0004759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Risk</w:t>
            </w:r>
          </w:p>
          <w:p w14:paraId="321C5F10" w14:textId="34F91874" w:rsidR="0049009B" w:rsidRPr="00416BDA" w:rsidRDefault="0049009B" w:rsidP="00C52A5A">
            <w:pPr>
              <w:numPr>
                <w:ilvl w:val="0"/>
                <w:numId w:val="20"/>
              </w:numPr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Conduct regular audits in line with policies and procedures to establish areas of excellence and identify areas for improvement.</w:t>
            </w:r>
          </w:p>
          <w:p w14:paraId="7BE58808" w14:textId="77777777" w:rsidR="00BC037D" w:rsidRPr="00BC037D" w:rsidRDefault="00BC037D" w:rsidP="00C52A5A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C037D">
              <w:rPr>
                <w:rFonts w:cstheme="minorHAnsi"/>
                <w:bCs/>
                <w:sz w:val="20"/>
                <w:szCs w:val="20"/>
              </w:rPr>
              <w:t>Ensure all operational resilience and business continuity efforts align with regulatory requirements and industry standards.</w:t>
            </w:r>
          </w:p>
          <w:p w14:paraId="1425F427" w14:textId="77777777" w:rsidR="00C52A5A" w:rsidRPr="00971000" w:rsidRDefault="00C52A5A" w:rsidP="00C52A5A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971000">
              <w:rPr>
                <w:rFonts w:cstheme="minorHAnsi"/>
                <w:sz w:val="20"/>
                <w:szCs w:val="20"/>
              </w:rPr>
              <w:t>Conduct regular resilience assessments and stress tests to identify vulnerabilities.</w:t>
            </w:r>
          </w:p>
          <w:p w14:paraId="36BF604A" w14:textId="7D341724" w:rsidR="00BC037D" w:rsidRPr="00BC037D" w:rsidRDefault="00BC037D" w:rsidP="00C52A5A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cstheme="minorHAnsi"/>
                <w:bCs/>
                <w:sz w:val="20"/>
                <w:szCs w:val="20"/>
              </w:rPr>
            </w:pPr>
            <w:r w:rsidRPr="00BC037D">
              <w:rPr>
                <w:rFonts w:cstheme="minorHAnsi"/>
                <w:bCs/>
                <w:sz w:val="20"/>
                <w:szCs w:val="20"/>
              </w:rPr>
              <w:t>Maintain awareness of evolving regulatory expectations and adjust plans accordingly.</w:t>
            </w:r>
          </w:p>
          <w:p w14:paraId="48C4FC83" w14:textId="083AD6A9" w:rsidR="00C52A5A" w:rsidRPr="00971000" w:rsidRDefault="00C52A5A" w:rsidP="00C52A5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cstheme="minorHAnsi"/>
                <w:sz w:val="20"/>
              </w:rPr>
            </w:pPr>
            <w:r w:rsidRPr="00971000">
              <w:rPr>
                <w:rFonts w:cstheme="minorHAnsi"/>
                <w:sz w:val="20"/>
                <w:szCs w:val="20"/>
              </w:rPr>
              <w:t>Oversee supplier and third-party resilience compliance to minimise external risks</w:t>
            </w:r>
            <w:r w:rsidR="008F0D3E">
              <w:rPr>
                <w:rFonts w:cstheme="minorHAnsi"/>
                <w:sz w:val="20"/>
                <w:szCs w:val="20"/>
              </w:rPr>
              <w:t xml:space="preserve">, working with the </w:t>
            </w:r>
            <w:r w:rsidR="00BC037D" w:rsidRPr="00BC037D">
              <w:rPr>
                <w:rFonts w:cstheme="minorHAnsi"/>
                <w:bCs/>
                <w:sz w:val="20"/>
                <w:szCs w:val="20"/>
              </w:rPr>
              <w:t>business in managing third-party relationships.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EAC8035" w14:textId="51138FA9" w:rsidR="009E22D0" w:rsidRPr="00DA096F" w:rsidRDefault="00BC037D" w:rsidP="00EF60BA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  <w:r w:rsidRPr="00F71210">
              <w:rPr>
                <w:rFonts w:cstheme="minorHAnsi"/>
                <w:bCs/>
                <w:sz w:val="20"/>
                <w:szCs w:val="20"/>
              </w:rPr>
              <w:t>Work with cross-functional teams to identify vulnerabilities and potential risks to business operations and develop strategies to mitigate them.</w:t>
            </w:r>
          </w:p>
        </w:tc>
        <w:tc>
          <w:tcPr>
            <w:tcW w:w="4141" w:type="dxa"/>
          </w:tcPr>
          <w:p w14:paraId="16343727" w14:textId="77777777" w:rsidR="00DD7726" w:rsidRPr="00416BDA" w:rsidRDefault="00DD7726" w:rsidP="00047598">
            <w:pPr>
              <w:pStyle w:val="ListParagraph"/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</w:p>
          <w:p w14:paraId="520922FA" w14:textId="77777777" w:rsidR="00E016DE" w:rsidRPr="00416BDA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 w:rsidRPr="00416BDA">
              <w:rPr>
                <w:rFonts w:eastAsia="Calibri" w:cstheme="minorHAnsi"/>
                <w:sz w:val="20"/>
                <w:szCs w:val="20"/>
              </w:rPr>
              <w:t>Risk and Control Self-Assessments</w:t>
            </w:r>
          </w:p>
          <w:p w14:paraId="438FB899" w14:textId="77777777" w:rsidR="00E016DE" w:rsidRPr="00416BDA" w:rsidRDefault="00E016DE" w:rsidP="0004759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 w:cstheme="minorHAnsi"/>
                <w:sz w:val="20"/>
                <w:szCs w:val="20"/>
              </w:rPr>
            </w:pPr>
            <w:r w:rsidRPr="00416BDA">
              <w:rPr>
                <w:rFonts w:eastAsia="Calibri" w:cstheme="minorHAnsi"/>
                <w:sz w:val="20"/>
                <w:szCs w:val="20"/>
              </w:rPr>
              <w:t>Audit Actions</w:t>
            </w:r>
          </w:p>
          <w:p w14:paraId="2ABF2BB3" w14:textId="538DB81C" w:rsidR="009E22D0" w:rsidRPr="00416BDA" w:rsidRDefault="00BC037D" w:rsidP="00BC037D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BCP and Crisis Management reviews and scenario testing</w:t>
            </w:r>
          </w:p>
        </w:tc>
      </w:tr>
    </w:tbl>
    <w:p w14:paraId="0F9C3797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11FD10B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D752E1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6DCA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6D97D47" w14:textId="77777777" w:rsidTr="00FF16B8">
        <w:trPr>
          <w:trHeight w:val="693"/>
        </w:trPr>
        <w:tc>
          <w:tcPr>
            <w:tcW w:w="10490" w:type="dxa"/>
          </w:tcPr>
          <w:p w14:paraId="7290A16E" w14:textId="77777777" w:rsidR="00AF6A8C" w:rsidRPr="00AF6A8C" w:rsidRDefault="00AF6A8C" w:rsidP="00AF6A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AF6A8C">
              <w:rPr>
                <w:rFonts w:cstheme="minorHAnsi"/>
                <w:sz w:val="20"/>
                <w:szCs w:val="20"/>
              </w:rPr>
              <w:t>Offer meaningful decision points and insight to MPS forums to ensure that the business operates within risk appetite, and decision makers are fully informed and equipped.</w:t>
            </w:r>
          </w:p>
          <w:p w14:paraId="318DE59C" w14:textId="77777777" w:rsidR="00AF6A8C" w:rsidRPr="00AF6A8C" w:rsidRDefault="00AF6A8C" w:rsidP="00AF6A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AF6A8C">
              <w:rPr>
                <w:rFonts w:cstheme="minorHAnsi"/>
                <w:sz w:val="20"/>
                <w:szCs w:val="20"/>
              </w:rPr>
              <w:t>Keep abreast of evolving legislation and best practice; identify and recommend opportunities for MPS to become more efficient and effective.</w:t>
            </w:r>
          </w:p>
          <w:p w14:paraId="2BAE53D6" w14:textId="77777777" w:rsidR="00AF6A8C" w:rsidRPr="00AF6A8C" w:rsidRDefault="00AF6A8C" w:rsidP="00AF6A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AF6A8C">
              <w:rPr>
                <w:rFonts w:cstheme="minorHAnsi"/>
                <w:sz w:val="20"/>
                <w:szCs w:val="20"/>
              </w:rPr>
              <w:t>Lead individual projects and change or delivery activities as required.</w:t>
            </w:r>
          </w:p>
          <w:p w14:paraId="59D2FB21" w14:textId="77777777" w:rsidR="00AF6A8C" w:rsidRPr="00AF6A8C" w:rsidRDefault="00AF6A8C" w:rsidP="00AF6A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AF6A8C">
              <w:rPr>
                <w:rFonts w:cstheme="minorHAnsi"/>
                <w:sz w:val="20"/>
                <w:szCs w:val="20"/>
              </w:rPr>
              <w:t>Role model MPS values and behaviours.</w:t>
            </w:r>
          </w:p>
          <w:p w14:paraId="0DF8F848" w14:textId="77777777" w:rsidR="00AF6A8C" w:rsidRPr="00AF6A8C" w:rsidRDefault="00AF6A8C" w:rsidP="00AF6A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AF6A8C">
              <w:rPr>
                <w:rFonts w:cstheme="minorHAnsi"/>
                <w:sz w:val="20"/>
                <w:szCs w:val="20"/>
              </w:rPr>
              <w:t>Manage the impact of change initiatives, leading implementation projects, communicating and championing change to the department, and ensuring effective transitions to new ways of working</w:t>
            </w:r>
          </w:p>
          <w:p w14:paraId="2359AD16" w14:textId="77777777" w:rsidR="00AF6A8C" w:rsidRPr="00AF6A8C" w:rsidRDefault="00AF6A8C" w:rsidP="00AF6A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AF6A8C">
              <w:rPr>
                <w:rFonts w:cstheme="minorHAnsi"/>
                <w:sz w:val="20"/>
                <w:szCs w:val="20"/>
              </w:rPr>
              <w:t xml:space="preserve">Take an active role in driving the MPS culture strategy, leading by example to demonstrate the New World values and continue fostering a high-performance culture within Operations. </w:t>
            </w:r>
          </w:p>
          <w:p w14:paraId="581D2E93" w14:textId="4251F10B" w:rsidR="00AF6A8C" w:rsidRPr="00AF6A8C" w:rsidRDefault="00AF6A8C" w:rsidP="00AF6A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AF6A8C">
              <w:rPr>
                <w:rFonts w:cstheme="minorHAnsi"/>
                <w:sz w:val="20"/>
                <w:szCs w:val="20"/>
              </w:rPr>
              <w:t>Undertake other duties and tasks that from time to time may be allocated that are appropriate to the level or role.</w:t>
            </w:r>
          </w:p>
          <w:p w14:paraId="2878A187" w14:textId="3F8804F8" w:rsidR="00801A7C" w:rsidRPr="00416BDA" w:rsidRDefault="00801A7C" w:rsidP="00971000">
            <w:pPr>
              <w:pStyle w:val="ListParagraph"/>
              <w:spacing w:before="0" w:beforeAutospacing="0" w:after="0" w:afterAutospacing="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7E05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01EFBBC" w14:textId="77777777" w:rsidTr="00083FC3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3563163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17D4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D8472E" w14:paraId="7EF72117" w14:textId="77777777" w:rsidTr="00F71210">
        <w:trPr>
          <w:trHeight w:val="164"/>
        </w:trPr>
        <w:tc>
          <w:tcPr>
            <w:tcW w:w="10490" w:type="dxa"/>
          </w:tcPr>
          <w:p w14:paraId="10C8D728" w14:textId="77777777" w:rsidR="00971000" w:rsidRDefault="00971000" w:rsidP="0097100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971000">
              <w:rPr>
                <w:rFonts w:cstheme="minorHAnsi"/>
                <w:sz w:val="20"/>
                <w:szCs w:val="20"/>
                <w:lang w:val="en-US"/>
              </w:rPr>
              <w:t xml:space="preserve">Reporting to Executive Leadership, Audit &amp; Risk Committee. </w:t>
            </w:r>
          </w:p>
          <w:p w14:paraId="13F79FAE" w14:textId="77777777" w:rsidR="00971000" w:rsidRDefault="00971000" w:rsidP="0097100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971000">
              <w:rPr>
                <w:rFonts w:cstheme="minorHAnsi"/>
                <w:sz w:val="20"/>
                <w:szCs w:val="20"/>
                <w:lang w:val="en-US"/>
              </w:rPr>
              <w:t xml:space="preserve">Lead Crisis Management Steering Group. </w:t>
            </w:r>
          </w:p>
          <w:p w14:paraId="78B97CD6" w14:textId="1969E7A9" w:rsidR="005542D1" w:rsidRPr="00416BDA" w:rsidRDefault="00971000" w:rsidP="00F7121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971000">
              <w:rPr>
                <w:rFonts w:cstheme="minorHAnsi"/>
                <w:sz w:val="20"/>
                <w:szCs w:val="20"/>
                <w:lang w:val="en-US"/>
              </w:rPr>
              <w:t>Maintain compliance with ISO 22301 standards.</w:t>
            </w:r>
          </w:p>
        </w:tc>
      </w:tr>
    </w:tbl>
    <w:p w14:paraId="69BD593A" w14:textId="77777777" w:rsidR="005542D1" w:rsidRPr="00416BDA" w:rsidRDefault="005542D1" w:rsidP="00B75089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D8472E" w14:paraId="5580B21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014F93D" w14:textId="77777777" w:rsidR="0056188D" w:rsidRPr="00416BDA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AA539A" w14:textId="77777777" w:rsidR="0056188D" w:rsidRPr="00416BDA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24562EDD" w14:textId="77777777" w:rsidR="0056188D" w:rsidRPr="00416BDA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5087B0" w14:textId="77777777" w:rsidR="0056188D" w:rsidRPr="00416BDA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Level</w:t>
            </w:r>
          </w:p>
          <w:p w14:paraId="417235A4" w14:textId="1110A624" w:rsidR="0056188D" w:rsidRPr="00416BDA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56188D" w:rsidRPr="00D8472E" w14:paraId="71C0959F" w14:textId="77777777" w:rsidTr="00F66179">
        <w:trPr>
          <w:trHeight w:val="141"/>
        </w:trPr>
        <w:tc>
          <w:tcPr>
            <w:tcW w:w="6008" w:type="dxa"/>
          </w:tcPr>
          <w:p w14:paraId="453CEA35" w14:textId="77777777" w:rsidR="0056188D" w:rsidRPr="00416BDA" w:rsidRDefault="0056188D" w:rsidP="00B750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CF1C287" w14:textId="7D8F8E38" w:rsidR="0056188D" w:rsidRPr="00416BDA" w:rsidRDefault="004468F6" w:rsidP="00F66179">
            <w:pPr>
              <w:tabs>
                <w:tab w:val="center" w:pos="213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Leading Others</w:t>
            </w:r>
            <w:r w:rsidR="00F66179" w:rsidRPr="00416BD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4468F6" w:rsidRPr="00D8472E" w14:paraId="03AAC844" w14:textId="77777777" w:rsidTr="00FF16B8">
        <w:trPr>
          <w:trHeight w:val="211"/>
        </w:trPr>
        <w:tc>
          <w:tcPr>
            <w:tcW w:w="6008" w:type="dxa"/>
          </w:tcPr>
          <w:p w14:paraId="0438FA23" w14:textId="77777777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18E0D07B" w14:textId="39A58D3C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Leading Others</w:t>
            </w:r>
          </w:p>
        </w:tc>
      </w:tr>
      <w:tr w:rsidR="004468F6" w:rsidRPr="00D8472E" w14:paraId="546E2A37" w14:textId="77777777" w:rsidTr="00FF16B8">
        <w:trPr>
          <w:trHeight w:val="211"/>
        </w:trPr>
        <w:tc>
          <w:tcPr>
            <w:tcW w:w="6008" w:type="dxa"/>
          </w:tcPr>
          <w:p w14:paraId="49D19A6A" w14:textId="77777777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91DB9D1" w14:textId="5CEB27B7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Leading Others</w:t>
            </w:r>
          </w:p>
        </w:tc>
      </w:tr>
      <w:tr w:rsidR="004468F6" w:rsidRPr="00D8472E" w14:paraId="48762BD0" w14:textId="77777777" w:rsidTr="00FF16B8">
        <w:trPr>
          <w:trHeight w:val="211"/>
        </w:trPr>
        <w:tc>
          <w:tcPr>
            <w:tcW w:w="6008" w:type="dxa"/>
          </w:tcPr>
          <w:p w14:paraId="21566F07" w14:textId="77777777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0BEE1A5D" w14:textId="2011BFDB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Leading Others</w:t>
            </w:r>
          </w:p>
        </w:tc>
      </w:tr>
      <w:tr w:rsidR="004468F6" w:rsidRPr="00D8472E" w14:paraId="0C0B4B18" w14:textId="77777777" w:rsidTr="00FF16B8">
        <w:trPr>
          <w:trHeight w:val="211"/>
        </w:trPr>
        <w:tc>
          <w:tcPr>
            <w:tcW w:w="6008" w:type="dxa"/>
          </w:tcPr>
          <w:p w14:paraId="787BB615" w14:textId="77777777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D053692" w14:textId="06C2E1E0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Leading Others</w:t>
            </w:r>
          </w:p>
        </w:tc>
      </w:tr>
      <w:tr w:rsidR="004468F6" w:rsidRPr="00D8472E" w14:paraId="5E6F1AAF" w14:textId="77777777" w:rsidTr="00FF16B8">
        <w:trPr>
          <w:trHeight w:val="211"/>
        </w:trPr>
        <w:tc>
          <w:tcPr>
            <w:tcW w:w="6008" w:type="dxa"/>
          </w:tcPr>
          <w:p w14:paraId="284C9935" w14:textId="77777777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1D9E56A8" w14:textId="661A268A" w:rsidR="004468F6" w:rsidRPr="00416BDA" w:rsidRDefault="004468F6" w:rsidP="004468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BDA">
              <w:rPr>
                <w:rFonts w:asciiTheme="minorHAnsi" w:hAnsiTheme="minorHAnsi" w:cstheme="minorHAnsi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221"/>
        <w:gridCol w:w="3260"/>
        <w:gridCol w:w="3515"/>
      </w:tblGrid>
      <w:tr w:rsidR="00FF16B8" w:rsidRPr="00D8472E" w14:paraId="369F5721" w14:textId="77777777" w:rsidTr="00660C0C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75F997E" w14:textId="0E67ECED" w:rsidR="002C652E" w:rsidRPr="00416BDA" w:rsidRDefault="002C652E" w:rsidP="002C65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D9D9D9" w:themeFill="background1" w:themeFillShade="D9"/>
          </w:tcPr>
          <w:p w14:paraId="59906285" w14:textId="77777777" w:rsidR="00E40AC5" w:rsidRPr="00416BDA" w:rsidRDefault="00E40AC5" w:rsidP="00B750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32069CD" w14:textId="77777777" w:rsidR="00E40AC5" w:rsidRPr="00416BDA" w:rsidRDefault="00E40AC5" w:rsidP="00B750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D879D03" w14:textId="77777777" w:rsidR="00E40AC5" w:rsidRPr="00416BDA" w:rsidRDefault="00E40AC5" w:rsidP="00B750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6BDA">
              <w:rPr>
                <w:rFonts w:asciiTheme="minorHAnsi" w:hAnsiTheme="minorHAnsi" w:cstheme="minorHAnsi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E218FD9" w14:textId="77777777" w:rsidTr="00660C0C">
        <w:trPr>
          <w:cantSplit/>
          <w:trHeight w:val="2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9DE5B1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21" w:type="dxa"/>
          </w:tcPr>
          <w:p w14:paraId="34AAEC19" w14:textId="191C0D11" w:rsidR="00E27D33" w:rsidRPr="00E27D33" w:rsidRDefault="00971000" w:rsidP="00E27D33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Calibri" w:cstheme="minorHAnsi"/>
                <w:sz w:val="20"/>
                <w:szCs w:val="20"/>
              </w:rPr>
            </w:pPr>
            <w:r w:rsidRPr="00971000">
              <w:rPr>
                <w:rFonts w:eastAsia="Calibri" w:cstheme="minorHAnsi"/>
                <w:sz w:val="20"/>
                <w:szCs w:val="20"/>
              </w:rPr>
              <w:t>Degree or equivalent</w:t>
            </w:r>
            <w:r w:rsidR="00E27D33">
              <w:rPr>
                <w:rFonts w:eastAsia="Calibri" w:cstheme="minorHAnsi"/>
                <w:sz w:val="20"/>
                <w:szCs w:val="20"/>
              </w:rPr>
              <w:t xml:space="preserve"> experience</w:t>
            </w:r>
            <w:r w:rsidRPr="00971000">
              <w:rPr>
                <w:rFonts w:eastAsia="Calibri" w:cstheme="minorHAnsi"/>
                <w:sz w:val="20"/>
                <w:szCs w:val="20"/>
              </w:rPr>
              <w:t xml:space="preserve"> in Risk Management, Business Continuity, or related field. </w:t>
            </w:r>
          </w:p>
          <w:p w14:paraId="7D56F789" w14:textId="498737E9" w:rsidR="0037345C" w:rsidRPr="00E27D33" w:rsidRDefault="00971000" w:rsidP="00E27D33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Calibri" w:cstheme="minorHAnsi"/>
                <w:sz w:val="20"/>
                <w:szCs w:val="20"/>
              </w:rPr>
            </w:pPr>
            <w:r w:rsidRPr="00971000">
              <w:rPr>
                <w:rFonts w:eastAsia="Calibri" w:cstheme="minorHAnsi"/>
                <w:sz w:val="20"/>
                <w:szCs w:val="20"/>
              </w:rPr>
              <w:t xml:space="preserve">Professional certification (e.g., CBCI, ISO 22301 Lead Implementer). </w:t>
            </w:r>
          </w:p>
          <w:p w14:paraId="707D418E" w14:textId="542551AB" w:rsidR="00E27D33" w:rsidRDefault="00E27D33" w:rsidP="00E27D33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Calibri" w:cstheme="minorHAnsi"/>
                <w:sz w:val="20"/>
                <w:szCs w:val="20"/>
              </w:rPr>
            </w:pPr>
            <w:r w:rsidRPr="0041692D">
              <w:rPr>
                <w:rFonts w:eastAsia="Calibri" w:cstheme="minorHAnsi"/>
                <w:sz w:val="20"/>
                <w:szCs w:val="20"/>
              </w:rPr>
              <w:t>Understanding o</w:t>
            </w:r>
            <w:r>
              <w:rPr>
                <w:rFonts w:eastAsia="Calibri" w:cstheme="minorHAnsi"/>
                <w:sz w:val="20"/>
                <w:szCs w:val="20"/>
              </w:rPr>
              <w:t>f</w:t>
            </w:r>
            <w:r w:rsidRPr="0041692D">
              <w:rPr>
                <w:rFonts w:eastAsia="Calibri" w:cstheme="minorHAnsi"/>
                <w:sz w:val="20"/>
                <w:szCs w:val="20"/>
              </w:rPr>
              <w:t xml:space="preserve"> key business issues and comfortable with challenging conversations. </w:t>
            </w:r>
          </w:p>
          <w:p w14:paraId="7A35F9DA" w14:textId="23C3C6DD" w:rsidR="00E27D33" w:rsidRPr="00E27D33" w:rsidRDefault="00E27D33" w:rsidP="00E27D33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Calibri" w:cstheme="minorHAnsi"/>
                <w:sz w:val="20"/>
                <w:szCs w:val="20"/>
              </w:rPr>
            </w:pPr>
            <w:r w:rsidRPr="00E27D33">
              <w:rPr>
                <w:rFonts w:eastAsia="Calibri" w:cstheme="minorHAnsi"/>
                <w:sz w:val="20"/>
                <w:szCs w:val="20"/>
              </w:rPr>
              <w:t>Understand</w:t>
            </w:r>
            <w:r>
              <w:rPr>
                <w:rFonts w:eastAsia="Calibri" w:cstheme="minorHAnsi"/>
                <w:sz w:val="20"/>
                <w:szCs w:val="20"/>
              </w:rPr>
              <w:t>s the</w:t>
            </w:r>
            <w:r w:rsidRPr="00E27D33">
              <w:rPr>
                <w:rFonts w:eastAsia="Calibri" w:cstheme="minorHAnsi"/>
                <w:sz w:val="20"/>
                <w:szCs w:val="20"/>
              </w:rPr>
              <w:t xml:space="preserve"> corporate landscape and how to utilise </w:t>
            </w:r>
            <w:r>
              <w:rPr>
                <w:rFonts w:eastAsia="Calibri" w:cstheme="minorHAnsi"/>
                <w:sz w:val="20"/>
                <w:szCs w:val="20"/>
              </w:rPr>
              <w:t>and leverage this to deliver</w:t>
            </w:r>
          </w:p>
          <w:p w14:paraId="28DE3AAA" w14:textId="77777777" w:rsidR="00E27D33" w:rsidRPr="00E27D33" w:rsidRDefault="00E27D33" w:rsidP="00E27D33">
            <w:pPr>
              <w:pStyle w:val="ListParagraph"/>
              <w:spacing w:after="0"/>
              <w:ind w:left="424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25858FF" w14:textId="73264E84" w:rsidR="00B33695" w:rsidRPr="00416BDA" w:rsidRDefault="00B33695" w:rsidP="00DB7D45">
            <w:pPr>
              <w:pStyle w:val="ListParagraph"/>
              <w:spacing w:after="0"/>
              <w:ind w:left="282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736792" w14:textId="77777777" w:rsidR="0037345C" w:rsidRPr="0041692D" w:rsidRDefault="0037345C" w:rsidP="0063168C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Calibri" w:cstheme="minorHAnsi"/>
                <w:sz w:val="20"/>
                <w:szCs w:val="20"/>
              </w:rPr>
            </w:pPr>
            <w:r w:rsidRPr="0041692D">
              <w:rPr>
                <w:rFonts w:eastAsia="Calibri" w:cstheme="minorHAnsi"/>
                <w:sz w:val="20"/>
                <w:szCs w:val="20"/>
              </w:rPr>
              <w:t>Ability to engage and challenge at all levels; strong influencing skills coupled with tenacity and resilience.</w:t>
            </w:r>
          </w:p>
          <w:p w14:paraId="1E2DBF84" w14:textId="77777777" w:rsidR="0037345C" w:rsidRPr="0041692D" w:rsidRDefault="0037345C" w:rsidP="0063168C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Calibri" w:cstheme="minorHAnsi"/>
                <w:sz w:val="20"/>
                <w:szCs w:val="20"/>
              </w:rPr>
            </w:pPr>
            <w:r w:rsidRPr="0041692D">
              <w:rPr>
                <w:rFonts w:eastAsia="Calibri" w:cstheme="minorHAnsi"/>
                <w:sz w:val="20"/>
                <w:szCs w:val="20"/>
              </w:rPr>
              <w:t>Good IT skills in MS Word, Excel, Outlook and PowerPoint.</w:t>
            </w:r>
          </w:p>
          <w:p w14:paraId="41B46240" w14:textId="77777777" w:rsidR="00E27D33" w:rsidRPr="00E27D33" w:rsidRDefault="00E27D33" w:rsidP="00E27D33">
            <w:pPr>
              <w:pStyle w:val="ListParagraph"/>
              <w:numPr>
                <w:ilvl w:val="0"/>
                <w:numId w:val="5"/>
              </w:numPr>
              <w:spacing w:after="0"/>
              <w:ind w:left="424"/>
              <w:rPr>
                <w:rFonts w:eastAsia="Calibri" w:cstheme="minorHAnsi"/>
                <w:b/>
                <w:sz w:val="20"/>
                <w:szCs w:val="20"/>
              </w:rPr>
            </w:pPr>
            <w:r w:rsidRPr="00971000">
              <w:rPr>
                <w:rFonts w:eastAsia="Calibri" w:cstheme="minorHAnsi"/>
                <w:sz w:val="20"/>
                <w:szCs w:val="20"/>
              </w:rPr>
              <w:t>Ability to manage complex, high-pressure situations.</w:t>
            </w:r>
            <w:r w:rsidRPr="00416BDA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1A4DB8D6" w14:textId="048CD43C" w:rsidR="00E27D33" w:rsidRPr="00E27D33" w:rsidRDefault="00E27D33" w:rsidP="00E27D33">
            <w:pPr>
              <w:pStyle w:val="ListParagraph"/>
              <w:numPr>
                <w:ilvl w:val="0"/>
                <w:numId w:val="5"/>
              </w:numPr>
              <w:ind w:left="459"/>
              <w:rPr>
                <w:rFonts w:eastAsia="Calibri" w:cstheme="minorHAnsi"/>
                <w:sz w:val="20"/>
                <w:szCs w:val="20"/>
              </w:rPr>
            </w:pPr>
            <w:r w:rsidRPr="0041692D">
              <w:rPr>
                <w:rFonts w:eastAsia="Calibri" w:cstheme="minorHAnsi"/>
                <w:sz w:val="20"/>
                <w:szCs w:val="20"/>
              </w:rPr>
              <w:t>Excellent attention to detail</w:t>
            </w:r>
            <w:r>
              <w:rPr>
                <w:rFonts w:eastAsia="Calibri" w:cstheme="minorHAnsi"/>
                <w:sz w:val="20"/>
                <w:szCs w:val="20"/>
              </w:rPr>
              <w:t xml:space="preserve"> – ability to formulate meaningful plans from high level through to accurate detail.</w:t>
            </w:r>
          </w:p>
          <w:p w14:paraId="5C18E58C" w14:textId="74250B76" w:rsidR="0037345C" w:rsidRPr="0041692D" w:rsidRDefault="0037345C" w:rsidP="00E27D33">
            <w:pPr>
              <w:pStyle w:val="ListParagraph"/>
              <w:ind w:left="459"/>
              <w:rPr>
                <w:rFonts w:eastAsia="Calibri" w:cstheme="minorHAnsi"/>
                <w:sz w:val="20"/>
                <w:szCs w:val="20"/>
              </w:rPr>
            </w:pPr>
            <w:r w:rsidRPr="0041692D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34D395AE" w14:textId="77777777" w:rsidR="00971000" w:rsidRPr="00416BDA" w:rsidRDefault="00971000" w:rsidP="00971000">
            <w:pPr>
              <w:spacing w:before="100" w:after="100" w:line="24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5ADC7F" w14:textId="0CDDCF23" w:rsidR="008C4214" w:rsidRPr="00416BDA" w:rsidRDefault="008C4214" w:rsidP="0063168C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35FA1315" w14:textId="50E4A258" w:rsidR="0037345C" w:rsidRDefault="0037345C" w:rsidP="0037345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07" w:hanging="284"/>
              <w:rPr>
                <w:rFonts w:eastAsia="Calibri" w:cstheme="minorHAnsi"/>
                <w:sz w:val="20"/>
                <w:szCs w:val="20"/>
              </w:rPr>
            </w:pPr>
            <w:r w:rsidRPr="00416BDA">
              <w:rPr>
                <w:rFonts w:eastAsia="Calibri" w:cstheme="minorHAnsi"/>
                <w:sz w:val="20"/>
                <w:szCs w:val="20"/>
              </w:rPr>
              <w:t xml:space="preserve">Experience of formulating </w:t>
            </w:r>
            <w:r w:rsidR="0049009B" w:rsidRPr="00416BDA">
              <w:rPr>
                <w:rFonts w:eastAsia="Calibri" w:cstheme="minorHAnsi"/>
                <w:sz w:val="20"/>
                <w:szCs w:val="20"/>
              </w:rPr>
              <w:t>B</w:t>
            </w:r>
            <w:r w:rsidRPr="00416BDA">
              <w:rPr>
                <w:rFonts w:eastAsia="Calibri" w:cstheme="minorHAnsi"/>
                <w:sz w:val="20"/>
                <w:szCs w:val="20"/>
              </w:rPr>
              <w:t xml:space="preserve">usiness </w:t>
            </w:r>
            <w:r w:rsidR="0049009B" w:rsidRPr="00416BDA">
              <w:rPr>
                <w:rFonts w:eastAsia="Calibri" w:cstheme="minorHAnsi"/>
                <w:sz w:val="20"/>
                <w:szCs w:val="20"/>
              </w:rPr>
              <w:t>C</w:t>
            </w:r>
            <w:r w:rsidRPr="00416BDA">
              <w:rPr>
                <w:rFonts w:eastAsia="Calibri" w:cstheme="minorHAnsi"/>
                <w:sz w:val="20"/>
                <w:szCs w:val="20"/>
              </w:rPr>
              <w:t xml:space="preserve">ontinuity policies and </w:t>
            </w:r>
            <w:r w:rsidR="00660C0C" w:rsidRPr="00416BDA">
              <w:rPr>
                <w:rFonts w:eastAsia="Calibri" w:cstheme="minorHAnsi"/>
                <w:sz w:val="20"/>
                <w:szCs w:val="20"/>
              </w:rPr>
              <w:t>driving a more</w:t>
            </w:r>
            <w:r w:rsidRPr="00416BD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9009B" w:rsidRPr="00416BDA">
              <w:rPr>
                <w:rFonts w:eastAsia="Calibri" w:cstheme="minorHAnsi"/>
                <w:sz w:val="20"/>
                <w:szCs w:val="20"/>
              </w:rPr>
              <w:t>robust approach</w:t>
            </w:r>
            <w:r w:rsidRPr="00416BDA">
              <w:rPr>
                <w:rFonts w:eastAsia="Calibri" w:cstheme="minorHAnsi"/>
                <w:sz w:val="20"/>
                <w:szCs w:val="20"/>
              </w:rPr>
              <w:t xml:space="preserve"> throughout an organisation.</w:t>
            </w:r>
          </w:p>
          <w:p w14:paraId="60E003E4" w14:textId="77777777" w:rsidR="00DF120D" w:rsidRDefault="00DF120D" w:rsidP="00DF120D">
            <w:pPr>
              <w:numPr>
                <w:ilvl w:val="0"/>
                <w:numId w:val="5"/>
              </w:numPr>
              <w:spacing w:before="100" w:after="100" w:line="240" w:lineRule="auto"/>
              <w:ind w:lef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2C652E">
              <w:rPr>
                <w:rFonts w:asciiTheme="minorHAnsi" w:hAnsiTheme="minorHAnsi" w:cstheme="minorHAnsi"/>
                <w:sz w:val="20"/>
                <w:szCs w:val="20"/>
              </w:rPr>
              <w:t>Experience operating at a strategic level with excellent communication and leadership experience.</w:t>
            </w:r>
          </w:p>
          <w:p w14:paraId="0603111E" w14:textId="77777777" w:rsidR="00E27D33" w:rsidRDefault="00E27D33" w:rsidP="00E27D33">
            <w:pPr>
              <w:pStyle w:val="ListParagraph"/>
              <w:numPr>
                <w:ilvl w:val="0"/>
                <w:numId w:val="5"/>
              </w:numPr>
              <w:spacing w:after="0"/>
              <w:ind w:left="424"/>
              <w:rPr>
                <w:rFonts w:eastAsia="Calibri" w:cstheme="minorHAnsi"/>
                <w:bCs/>
                <w:sz w:val="20"/>
                <w:szCs w:val="20"/>
              </w:rPr>
            </w:pPr>
            <w:r w:rsidRPr="00971000">
              <w:rPr>
                <w:rFonts w:eastAsia="Calibri" w:cstheme="minorHAnsi"/>
                <w:bCs/>
                <w:sz w:val="20"/>
                <w:szCs w:val="20"/>
              </w:rPr>
              <w:t>Demonstrated experience in Business Resilience planning and execution, including risk assessments and recovery strategies.</w:t>
            </w:r>
          </w:p>
          <w:p w14:paraId="297C4EE2" w14:textId="7752935D" w:rsidR="00E27D33" w:rsidRDefault="00E27D33" w:rsidP="00E27D33">
            <w:pPr>
              <w:pStyle w:val="ListParagraph"/>
              <w:numPr>
                <w:ilvl w:val="0"/>
                <w:numId w:val="5"/>
              </w:numPr>
              <w:spacing w:after="0"/>
              <w:ind w:left="424"/>
              <w:rPr>
                <w:rFonts w:eastAsia="Calibri" w:cstheme="minorHAnsi"/>
                <w:bCs/>
                <w:sz w:val="20"/>
                <w:szCs w:val="20"/>
              </w:rPr>
            </w:pPr>
            <w:r w:rsidRPr="00416BDA">
              <w:rPr>
                <w:rFonts w:eastAsia="Calibri" w:cstheme="minorHAnsi"/>
                <w:bCs/>
                <w:sz w:val="20"/>
                <w:szCs w:val="20"/>
              </w:rPr>
              <w:t xml:space="preserve">Proven track record in a similar </w:t>
            </w:r>
            <w:r w:rsidR="00396455">
              <w:rPr>
                <w:rFonts w:eastAsia="Calibri" w:cstheme="minorHAnsi"/>
                <w:bCs/>
                <w:sz w:val="20"/>
                <w:szCs w:val="20"/>
              </w:rPr>
              <w:t xml:space="preserve">role </w:t>
            </w:r>
            <w:r w:rsidRPr="00416BDA">
              <w:rPr>
                <w:rFonts w:eastAsia="Calibri" w:cstheme="minorHAnsi"/>
                <w:bCs/>
                <w:sz w:val="20"/>
                <w:szCs w:val="20"/>
              </w:rPr>
              <w:t>from within a relevant sector</w:t>
            </w:r>
          </w:p>
          <w:p w14:paraId="42C9ADE9" w14:textId="09B59647" w:rsidR="00B33695" w:rsidRPr="00416BDA" w:rsidRDefault="00B33695" w:rsidP="00DF120D">
            <w:pPr>
              <w:pStyle w:val="ListParagraph"/>
              <w:spacing w:after="0"/>
              <w:ind w:left="625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FF16B8" w:rsidRPr="00B75089" w14:paraId="5DFCA9B8" w14:textId="77777777" w:rsidTr="00660C0C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8984741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21" w:type="dxa"/>
          </w:tcPr>
          <w:p w14:paraId="730CC695" w14:textId="77777777" w:rsidR="002B35FC" w:rsidRPr="00DF120D" w:rsidRDefault="002B35FC" w:rsidP="002B35FC">
            <w:pPr>
              <w:pStyle w:val="ListParagraph"/>
              <w:numPr>
                <w:ilvl w:val="0"/>
                <w:numId w:val="5"/>
              </w:numPr>
              <w:spacing w:after="0"/>
              <w:ind w:left="282" w:hanging="284"/>
              <w:rPr>
                <w:rFonts w:eastAsia="Calibri" w:cstheme="minorHAnsi"/>
                <w:b/>
                <w:sz w:val="20"/>
                <w:szCs w:val="20"/>
              </w:rPr>
            </w:pPr>
            <w:r w:rsidRPr="00DF120D">
              <w:rPr>
                <w:sz w:val="20"/>
                <w:szCs w:val="20"/>
              </w:rPr>
              <w:t xml:space="preserve">Experience in global operations. </w:t>
            </w:r>
          </w:p>
          <w:p w14:paraId="04F27723" w14:textId="0DB1A4D2" w:rsidR="00B377BA" w:rsidRPr="00416BDA" w:rsidRDefault="002B35FC" w:rsidP="002B35FC">
            <w:pPr>
              <w:pStyle w:val="ListParagraph"/>
              <w:numPr>
                <w:ilvl w:val="0"/>
                <w:numId w:val="5"/>
              </w:numPr>
              <w:spacing w:after="0"/>
              <w:ind w:left="282" w:hanging="284"/>
              <w:rPr>
                <w:rFonts w:eastAsia="Calibri" w:cstheme="minorHAnsi"/>
                <w:b/>
                <w:sz w:val="20"/>
                <w:szCs w:val="20"/>
              </w:rPr>
            </w:pPr>
            <w:r w:rsidRPr="00DF120D">
              <w:rPr>
                <w:sz w:val="20"/>
                <w:szCs w:val="20"/>
              </w:rPr>
              <w:t>Knowledge of regulatory frameworks and resilience standards.</w:t>
            </w:r>
            <w:r>
              <w:t xml:space="preserve"> </w:t>
            </w:r>
          </w:p>
        </w:tc>
        <w:tc>
          <w:tcPr>
            <w:tcW w:w="3260" w:type="dxa"/>
          </w:tcPr>
          <w:p w14:paraId="64D12A31" w14:textId="1C90148F" w:rsidR="00E40AC5" w:rsidRPr="00416BDA" w:rsidRDefault="0037345C" w:rsidP="00B33695">
            <w:pPr>
              <w:pStyle w:val="ListParagraph"/>
              <w:numPr>
                <w:ilvl w:val="0"/>
                <w:numId w:val="5"/>
              </w:numPr>
              <w:spacing w:after="0"/>
              <w:ind w:left="343" w:hanging="283"/>
              <w:rPr>
                <w:rFonts w:eastAsia="Calibri" w:cstheme="minorHAnsi"/>
                <w:bCs/>
                <w:sz w:val="20"/>
                <w:szCs w:val="20"/>
              </w:rPr>
            </w:pPr>
            <w:r w:rsidRPr="00416BDA">
              <w:rPr>
                <w:rFonts w:eastAsia="Calibri" w:cstheme="minorHAnsi"/>
                <w:sz w:val="20"/>
                <w:szCs w:val="20"/>
              </w:rPr>
              <w:t>Planning and project management skills.</w:t>
            </w:r>
          </w:p>
        </w:tc>
        <w:tc>
          <w:tcPr>
            <w:tcW w:w="3515" w:type="dxa"/>
          </w:tcPr>
          <w:p w14:paraId="786BD7AC" w14:textId="4E5CD51C" w:rsidR="0037345C" w:rsidRPr="00DF120D" w:rsidRDefault="00DF120D" w:rsidP="00D76E5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07" w:hanging="284"/>
              <w:rPr>
                <w:rFonts w:eastAsia="Calibri" w:cstheme="minorHAnsi"/>
                <w:bCs/>
                <w:sz w:val="20"/>
                <w:szCs w:val="20"/>
              </w:rPr>
            </w:pPr>
            <w:r w:rsidRPr="00DF120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Familiarity with resilience frameworks such as ISO 22316 and ability to lead resilience maturity programs.</w:t>
            </w:r>
          </w:p>
          <w:p w14:paraId="474C87A5" w14:textId="06AD9B67" w:rsidR="00E40AC5" w:rsidRPr="00416BDA" w:rsidRDefault="00E40AC5" w:rsidP="00B3369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107DD72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F17254">
      <w:headerReference w:type="default" r:id="rId8"/>
      <w:footerReference w:type="default" r:id="rId9"/>
      <w:pgSz w:w="11909" w:h="16834" w:code="9"/>
      <w:pgMar w:top="1440" w:right="1800" w:bottom="993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37F9" w14:textId="77777777" w:rsidR="00C65A93" w:rsidRDefault="00C65A93" w:rsidP="009E22D0">
      <w:pPr>
        <w:spacing w:after="0" w:line="240" w:lineRule="auto"/>
      </w:pPr>
      <w:r>
        <w:separator/>
      </w:r>
    </w:p>
  </w:endnote>
  <w:endnote w:type="continuationSeparator" w:id="0">
    <w:p w14:paraId="255074D4" w14:textId="77777777" w:rsidR="00C65A93" w:rsidRDefault="00C65A93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BC47" w14:textId="543A4231" w:rsidR="00DF1556" w:rsidRPr="00EF60BA" w:rsidRDefault="00DF1556" w:rsidP="00EF60BA">
    <w:pPr>
      <w:pStyle w:val="Footer"/>
      <w:rPr>
        <w:rFonts w:eastAsiaTheme="minorHAnsi"/>
      </w:rPr>
    </w:pPr>
    <w:bookmarkStart w:id="0" w:name="_Hlk21436397"/>
    <w:r w:rsidRPr="00EF60BA">
      <w:rPr>
        <w:rFonts w:eastAsiaTheme="minorHAnsi"/>
      </w:rP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F4EA" w14:textId="77777777" w:rsidR="00C65A93" w:rsidRDefault="00C65A93" w:rsidP="009E22D0">
      <w:pPr>
        <w:spacing w:after="0" w:line="240" w:lineRule="auto"/>
      </w:pPr>
      <w:r>
        <w:separator/>
      </w:r>
    </w:p>
  </w:footnote>
  <w:footnote w:type="continuationSeparator" w:id="0">
    <w:p w14:paraId="6E9E4EE7" w14:textId="77777777" w:rsidR="00C65A93" w:rsidRDefault="00C65A93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05C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483B1A23" wp14:editId="1E668E01">
          <wp:extent cx="1435505" cy="36246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0B3"/>
    <w:multiLevelType w:val="hybridMultilevel"/>
    <w:tmpl w:val="A334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6F9A"/>
    <w:multiLevelType w:val="multilevel"/>
    <w:tmpl w:val="6EC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746A9"/>
    <w:multiLevelType w:val="hybridMultilevel"/>
    <w:tmpl w:val="0D4A44E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87F1C75"/>
    <w:multiLevelType w:val="multilevel"/>
    <w:tmpl w:val="D3D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73C05"/>
    <w:multiLevelType w:val="hybridMultilevel"/>
    <w:tmpl w:val="F25C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557688"/>
    <w:multiLevelType w:val="hybridMultilevel"/>
    <w:tmpl w:val="0F34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80DA1"/>
    <w:multiLevelType w:val="hybridMultilevel"/>
    <w:tmpl w:val="5BD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90650"/>
    <w:multiLevelType w:val="hybridMultilevel"/>
    <w:tmpl w:val="C8C255C4"/>
    <w:lvl w:ilvl="0" w:tplc="3A88CF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22787"/>
    <w:multiLevelType w:val="hybridMultilevel"/>
    <w:tmpl w:val="4BD0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9E94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94302"/>
    <w:multiLevelType w:val="hybridMultilevel"/>
    <w:tmpl w:val="B41A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7802"/>
    <w:multiLevelType w:val="hybridMultilevel"/>
    <w:tmpl w:val="8D5EB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45CC6"/>
    <w:multiLevelType w:val="hybridMultilevel"/>
    <w:tmpl w:val="788ADD9C"/>
    <w:lvl w:ilvl="0" w:tplc="69160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C7C0B"/>
    <w:multiLevelType w:val="hybridMultilevel"/>
    <w:tmpl w:val="1A2A1482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53839"/>
    <w:multiLevelType w:val="hybridMultilevel"/>
    <w:tmpl w:val="4E70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85B67"/>
    <w:multiLevelType w:val="hybridMultilevel"/>
    <w:tmpl w:val="7AC4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9061E"/>
    <w:multiLevelType w:val="hybridMultilevel"/>
    <w:tmpl w:val="CB18FFAA"/>
    <w:lvl w:ilvl="0" w:tplc="3A88CFA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1119B"/>
    <w:multiLevelType w:val="hybridMultilevel"/>
    <w:tmpl w:val="226E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7761">
    <w:abstractNumId w:val="15"/>
  </w:num>
  <w:num w:numId="2" w16cid:durableId="1544443286">
    <w:abstractNumId w:val="5"/>
  </w:num>
  <w:num w:numId="3" w16cid:durableId="293143053">
    <w:abstractNumId w:val="13"/>
  </w:num>
  <w:num w:numId="4" w16cid:durableId="795677643">
    <w:abstractNumId w:val="11"/>
  </w:num>
  <w:num w:numId="5" w16cid:durableId="541600610">
    <w:abstractNumId w:val="14"/>
  </w:num>
  <w:num w:numId="6" w16cid:durableId="2083135815">
    <w:abstractNumId w:val="7"/>
  </w:num>
  <w:num w:numId="7" w16cid:durableId="452402201">
    <w:abstractNumId w:val="20"/>
  </w:num>
  <w:num w:numId="8" w16cid:durableId="1331713006">
    <w:abstractNumId w:val="28"/>
  </w:num>
  <w:num w:numId="9" w16cid:durableId="1560945356">
    <w:abstractNumId w:val="30"/>
  </w:num>
  <w:num w:numId="10" w16cid:durableId="984895053">
    <w:abstractNumId w:val="25"/>
  </w:num>
  <w:num w:numId="11" w16cid:durableId="1595750084">
    <w:abstractNumId w:val="10"/>
  </w:num>
  <w:num w:numId="12" w16cid:durableId="1633631724">
    <w:abstractNumId w:val="26"/>
  </w:num>
  <w:num w:numId="13" w16cid:durableId="545147662">
    <w:abstractNumId w:val="19"/>
  </w:num>
  <w:num w:numId="14" w16cid:durableId="1484613911">
    <w:abstractNumId w:val="18"/>
  </w:num>
  <w:num w:numId="15" w16cid:durableId="1458059891">
    <w:abstractNumId w:val="22"/>
  </w:num>
  <w:num w:numId="16" w16cid:durableId="249507976">
    <w:abstractNumId w:val="29"/>
  </w:num>
  <w:num w:numId="17" w16cid:durableId="393745449">
    <w:abstractNumId w:val="2"/>
  </w:num>
  <w:num w:numId="18" w16cid:durableId="1490095067">
    <w:abstractNumId w:val="11"/>
  </w:num>
  <w:num w:numId="19" w16cid:durableId="2047674854">
    <w:abstractNumId w:val="31"/>
  </w:num>
  <w:num w:numId="20" w16cid:durableId="992416133">
    <w:abstractNumId w:val="23"/>
  </w:num>
  <w:num w:numId="21" w16cid:durableId="2126465836">
    <w:abstractNumId w:val="21"/>
  </w:num>
  <w:num w:numId="22" w16cid:durableId="1316690034">
    <w:abstractNumId w:val="4"/>
  </w:num>
  <w:num w:numId="23" w16cid:durableId="250166155">
    <w:abstractNumId w:val="27"/>
  </w:num>
  <w:num w:numId="24" w16cid:durableId="1233928845">
    <w:abstractNumId w:val="17"/>
  </w:num>
  <w:num w:numId="25" w16cid:durableId="156191090">
    <w:abstractNumId w:val="24"/>
  </w:num>
  <w:num w:numId="26" w16cid:durableId="1192769386">
    <w:abstractNumId w:val="12"/>
  </w:num>
  <w:num w:numId="27" w16cid:durableId="297801956">
    <w:abstractNumId w:val="16"/>
  </w:num>
  <w:num w:numId="28" w16cid:durableId="640113006">
    <w:abstractNumId w:val="8"/>
  </w:num>
  <w:num w:numId="29" w16cid:durableId="1334842421">
    <w:abstractNumId w:val="6"/>
  </w:num>
  <w:num w:numId="30" w16cid:durableId="183902601">
    <w:abstractNumId w:val="9"/>
  </w:num>
  <w:num w:numId="31" w16cid:durableId="2058433303">
    <w:abstractNumId w:val="0"/>
  </w:num>
  <w:num w:numId="32" w16cid:durableId="1609966012">
    <w:abstractNumId w:val="1"/>
  </w:num>
  <w:num w:numId="33" w16cid:durableId="84863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5F7A"/>
    <w:rsid w:val="00021846"/>
    <w:rsid w:val="00032C42"/>
    <w:rsid w:val="00047598"/>
    <w:rsid w:val="00082F60"/>
    <w:rsid w:val="00083981"/>
    <w:rsid w:val="00083FC3"/>
    <w:rsid w:val="00093D85"/>
    <w:rsid w:val="000A1C32"/>
    <w:rsid w:val="000E4361"/>
    <w:rsid w:val="0013403A"/>
    <w:rsid w:val="00134995"/>
    <w:rsid w:val="0014056F"/>
    <w:rsid w:val="001765CE"/>
    <w:rsid w:val="00196923"/>
    <w:rsid w:val="001A3C4D"/>
    <w:rsid w:val="001C0762"/>
    <w:rsid w:val="001E0B81"/>
    <w:rsid w:val="001F2FCA"/>
    <w:rsid w:val="00206CA8"/>
    <w:rsid w:val="00211DD3"/>
    <w:rsid w:val="00294A4E"/>
    <w:rsid w:val="00296D31"/>
    <w:rsid w:val="002B35FC"/>
    <w:rsid w:val="002B557F"/>
    <w:rsid w:val="002C652E"/>
    <w:rsid w:val="003409BD"/>
    <w:rsid w:val="0037345C"/>
    <w:rsid w:val="0038019E"/>
    <w:rsid w:val="003940E3"/>
    <w:rsid w:val="00396455"/>
    <w:rsid w:val="003D6025"/>
    <w:rsid w:val="003F5A3F"/>
    <w:rsid w:val="00414D86"/>
    <w:rsid w:val="004152C1"/>
    <w:rsid w:val="0041692D"/>
    <w:rsid w:val="00416BDA"/>
    <w:rsid w:val="004468F6"/>
    <w:rsid w:val="00472254"/>
    <w:rsid w:val="00473271"/>
    <w:rsid w:val="00473FCD"/>
    <w:rsid w:val="0049009B"/>
    <w:rsid w:val="00491696"/>
    <w:rsid w:val="004A1064"/>
    <w:rsid w:val="004A1FC8"/>
    <w:rsid w:val="004D18E8"/>
    <w:rsid w:val="004E530C"/>
    <w:rsid w:val="00516927"/>
    <w:rsid w:val="0052795D"/>
    <w:rsid w:val="005542D1"/>
    <w:rsid w:val="0056188D"/>
    <w:rsid w:val="005630E1"/>
    <w:rsid w:val="00573540"/>
    <w:rsid w:val="00587FB4"/>
    <w:rsid w:val="005C41B7"/>
    <w:rsid w:val="005D4814"/>
    <w:rsid w:val="005E7AD8"/>
    <w:rsid w:val="00607D7E"/>
    <w:rsid w:val="006219B1"/>
    <w:rsid w:val="0063168C"/>
    <w:rsid w:val="006505B7"/>
    <w:rsid w:val="006541C8"/>
    <w:rsid w:val="00660C0C"/>
    <w:rsid w:val="00666EB3"/>
    <w:rsid w:val="006C218D"/>
    <w:rsid w:val="006D5D72"/>
    <w:rsid w:val="00710138"/>
    <w:rsid w:val="00711E46"/>
    <w:rsid w:val="007125D2"/>
    <w:rsid w:val="00717094"/>
    <w:rsid w:val="00735596"/>
    <w:rsid w:val="00760932"/>
    <w:rsid w:val="00774919"/>
    <w:rsid w:val="0078717A"/>
    <w:rsid w:val="007C574E"/>
    <w:rsid w:val="007E7CA1"/>
    <w:rsid w:val="00801A7C"/>
    <w:rsid w:val="00813AEB"/>
    <w:rsid w:val="00814180"/>
    <w:rsid w:val="008143E4"/>
    <w:rsid w:val="0083598E"/>
    <w:rsid w:val="008A7762"/>
    <w:rsid w:val="008B337E"/>
    <w:rsid w:val="008B4C39"/>
    <w:rsid w:val="008B5276"/>
    <w:rsid w:val="008C3081"/>
    <w:rsid w:val="008C4214"/>
    <w:rsid w:val="008D7152"/>
    <w:rsid w:val="008E122A"/>
    <w:rsid w:val="008E7175"/>
    <w:rsid w:val="008F0D3E"/>
    <w:rsid w:val="00924CE9"/>
    <w:rsid w:val="009445F2"/>
    <w:rsid w:val="00946A6C"/>
    <w:rsid w:val="0096706D"/>
    <w:rsid w:val="00971000"/>
    <w:rsid w:val="0099754D"/>
    <w:rsid w:val="009E22D0"/>
    <w:rsid w:val="009E2AEB"/>
    <w:rsid w:val="00A01551"/>
    <w:rsid w:val="00A2156C"/>
    <w:rsid w:val="00A4305B"/>
    <w:rsid w:val="00A4414A"/>
    <w:rsid w:val="00A47BE4"/>
    <w:rsid w:val="00A52C9D"/>
    <w:rsid w:val="00AB7C93"/>
    <w:rsid w:val="00AF4838"/>
    <w:rsid w:val="00AF6A8C"/>
    <w:rsid w:val="00B11568"/>
    <w:rsid w:val="00B23348"/>
    <w:rsid w:val="00B33695"/>
    <w:rsid w:val="00B377BA"/>
    <w:rsid w:val="00B4058C"/>
    <w:rsid w:val="00B43B9E"/>
    <w:rsid w:val="00B75089"/>
    <w:rsid w:val="00BC037D"/>
    <w:rsid w:val="00BD0A3F"/>
    <w:rsid w:val="00BE066C"/>
    <w:rsid w:val="00C40DCC"/>
    <w:rsid w:val="00C50EA7"/>
    <w:rsid w:val="00C52A5A"/>
    <w:rsid w:val="00C65A93"/>
    <w:rsid w:val="00C91CFA"/>
    <w:rsid w:val="00C97CD9"/>
    <w:rsid w:val="00CB1C24"/>
    <w:rsid w:val="00CB6CF4"/>
    <w:rsid w:val="00D01CA1"/>
    <w:rsid w:val="00D11FC9"/>
    <w:rsid w:val="00D210C5"/>
    <w:rsid w:val="00D22A23"/>
    <w:rsid w:val="00D42552"/>
    <w:rsid w:val="00D67ED5"/>
    <w:rsid w:val="00D8472E"/>
    <w:rsid w:val="00DA096F"/>
    <w:rsid w:val="00DB5DD4"/>
    <w:rsid w:val="00DB7D45"/>
    <w:rsid w:val="00DD2396"/>
    <w:rsid w:val="00DD7726"/>
    <w:rsid w:val="00DF120D"/>
    <w:rsid w:val="00DF1556"/>
    <w:rsid w:val="00E016DE"/>
    <w:rsid w:val="00E21845"/>
    <w:rsid w:val="00E27D33"/>
    <w:rsid w:val="00E40AC5"/>
    <w:rsid w:val="00E5100D"/>
    <w:rsid w:val="00E56D00"/>
    <w:rsid w:val="00EF60BA"/>
    <w:rsid w:val="00F14CA6"/>
    <w:rsid w:val="00F159D0"/>
    <w:rsid w:val="00F17254"/>
    <w:rsid w:val="00F278B6"/>
    <w:rsid w:val="00F5319A"/>
    <w:rsid w:val="00F66179"/>
    <w:rsid w:val="00F71210"/>
    <w:rsid w:val="00FB4711"/>
    <w:rsid w:val="00FC47D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B3356"/>
  <w15:docId w15:val="{DDF91553-BBE2-4525-A7B7-2581A79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16DE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CE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E9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83598E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6A8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1C23FF76-1654-4BDA-9366-9EB3D5276B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Internal Only</dc:description>
  <cp:lastModifiedBy>Katie Cox</cp:lastModifiedBy>
  <cp:revision>5</cp:revision>
  <dcterms:created xsi:type="dcterms:W3CDTF">2026-01-12T14:06:00Z</dcterms:created>
  <dcterms:modified xsi:type="dcterms:W3CDTF">2026-01-12T14:09:00Z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39be157f-9f26-43d4-9290-02181018a33c</vt:lpwstr>
  </property>
  <property fmtid="{D5CDD505-2E9C-101B-9397-08002B2CF9AE}" pid="3" name="bjSaver">
    <vt:lpwstr>1yDe5Bi9dTrQZHGHx6B/x44mEUtF4nq6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401a61c9-4983-4ada-8b3f-be98d11e98cc_Enabled">
    <vt:lpwstr>true</vt:lpwstr>
  </property>
  <property fmtid="{D5CDD505-2E9C-101B-9397-08002B2CF9AE}" pid="9" name="MSIP_Label_401a61c9-4983-4ada-8b3f-be98d11e98cc_SetDate">
    <vt:lpwstr>2025-11-14T14:23:32Z</vt:lpwstr>
  </property>
  <property fmtid="{D5CDD505-2E9C-101B-9397-08002B2CF9AE}" pid="10" name="MSIP_Label_401a61c9-4983-4ada-8b3f-be98d11e98cc_Method">
    <vt:lpwstr>Privileged</vt:lpwstr>
  </property>
  <property fmtid="{D5CDD505-2E9C-101B-9397-08002B2CF9AE}" pid="11" name="MSIP_Label_401a61c9-4983-4ada-8b3f-be98d11e98cc_Name">
    <vt:lpwstr>Internal</vt:lpwstr>
  </property>
  <property fmtid="{D5CDD505-2E9C-101B-9397-08002B2CF9AE}" pid="12" name="MSIP_Label_401a61c9-4983-4ada-8b3f-be98d11e98cc_SiteId">
    <vt:lpwstr>60e0ab8b-8c8d-4eef-b9c2-f9cb65535c28</vt:lpwstr>
  </property>
  <property fmtid="{D5CDD505-2E9C-101B-9397-08002B2CF9AE}" pid="13" name="MSIP_Label_401a61c9-4983-4ada-8b3f-be98d11e98cc_ActionId">
    <vt:lpwstr>5d279f8c-eeed-43a8-a563-e54e4e79d5e7</vt:lpwstr>
  </property>
  <property fmtid="{D5CDD505-2E9C-101B-9397-08002B2CF9AE}" pid="14" name="MSIP_Label_401a61c9-4983-4ada-8b3f-be98d11e98cc_ContentBits">
    <vt:lpwstr>0</vt:lpwstr>
  </property>
  <property fmtid="{D5CDD505-2E9C-101B-9397-08002B2CF9AE}" pid="15" name="MSIP_Label_401a61c9-4983-4ada-8b3f-be98d11e98cc_Tag">
    <vt:lpwstr>10, 0, 1, 1</vt:lpwstr>
  </property>
</Properties>
</file>