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1560"/>
        <w:gridCol w:w="3969"/>
        <w:gridCol w:w="1985"/>
        <w:gridCol w:w="2976"/>
      </w:tblGrid>
      <w:tr w:rsidR="00F5319A" w:rsidRPr="00B75089" w14:paraId="7E5CA0C8" w14:textId="77777777" w:rsidTr="00306334">
        <w:trPr>
          <w:trHeight w:val="265"/>
        </w:trPr>
        <w:tc>
          <w:tcPr>
            <w:tcW w:w="1560" w:type="dxa"/>
            <w:shd w:val="clear" w:color="auto" w:fill="D9D9D9" w:themeFill="background1" w:themeFillShade="D9"/>
            <w:vAlign w:val="center"/>
          </w:tcPr>
          <w:p w14:paraId="3627DDE8"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Role title:</w:t>
            </w:r>
          </w:p>
        </w:tc>
        <w:tc>
          <w:tcPr>
            <w:tcW w:w="3969" w:type="dxa"/>
            <w:vAlign w:val="center"/>
          </w:tcPr>
          <w:p w14:paraId="5F3F875D" w14:textId="3518598A" w:rsidR="00052D4B" w:rsidRPr="008F0259" w:rsidRDefault="003A5A7A" w:rsidP="006E6613">
            <w:pPr>
              <w:pStyle w:val="Header"/>
              <w:spacing w:after="0"/>
              <w:rPr>
                <w:rFonts w:ascii="Arial" w:hAnsi="Arial" w:cs="Arial"/>
                <w:sz w:val="20"/>
                <w:szCs w:val="20"/>
              </w:rPr>
            </w:pPr>
            <w:r>
              <w:rPr>
                <w:rFonts w:ascii="Arial" w:hAnsi="Arial" w:cs="Arial"/>
                <w:sz w:val="20"/>
                <w:szCs w:val="20"/>
              </w:rPr>
              <w:t xml:space="preserve">Business Development Manager </w:t>
            </w:r>
            <w:r w:rsidR="006E6613">
              <w:rPr>
                <w:rFonts w:ascii="Arial" w:hAnsi="Arial" w:cs="Arial"/>
                <w:sz w:val="20"/>
                <w:szCs w:val="20"/>
              </w:rPr>
              <w:t>(</w:t>
            </w:r>
            <w:r w:rsidR="007F0E6B">
              <w:rPr>
                <w:rFonts w:ascii="Arial" w:hAnsi="Arial" w:cs="Arial"/>
                <w:sz w:val="20"/>
                <w:szCs w:val="20"/>
              </w:rPr>
              <w:t>South Africa</w:t>
            </w:r>
            <w:r w:rsidR="006E6613">
              <w:rPr>
                <w:rFonts w:ascii="Arial" w:hAnsi="Arial" w:cs="Arial"/>
                <w:sz w:val="20"/>
                <w:szCs w:val="20"/>
              </w:rPr>
              <w:t>)</w:t>
            </w:r>
            <w:r w:rsidRPr="002B0CB6">
              <w:rPr>
                <w:rFonts w:ascii="Arial" w:hAnsi="Arial" w:cs="Arial"/>
                <w:iCs/>
                <w:sz w:val="20"/>
                <w:szCs w:val="20"/>
              </w:rPr>
              <w:t xml:space="preserve"> </w:t>
            </w:r>
          </w:p>
        </w:tc>
        <w:tc>
          <w:tcPr>
            <w:tcW w:w="1985" w:type="dxa"/>
            <w:shd w:val="clear" w:color="auto" w:fill="D9D9D9" w:themeFill="background1" w:themeFillShade="D9"/>
            <w:vAlign w:val="center"/>
          </w:tcPr>
          <w:p w14:paraId="2338E0C4"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Responsible to:</w:t>
            </w:r>
          </w:p>
        </w:tc>
        <w:tc>
          <w:tcPr>
            <w:tcW w:w="2976" w:type="dxa"/>
            <w:vAlign w:val="center"/>
          </w:tcPr>
          <w:p w14:paraId="58137AD8" w14:textId="71C6546D" w:rsidR="00F5319A" w:rsidRPr="00B75089" w:rsidRDefault="007F0E6B" w:rsidP="00583281">
            <w:pPr>
              <w:pStyle w:val="Header"/>
              <w:spacing w:after="0"/>
              <w:rPr>
                <w:rFonts w:ascii="Arial" w:hAnsi="Arial" w:cs="Arial"/>
                <w:sz w:val="20"/>
                <w:szCs w:val="20"/>
              </w:rPr>
            </w:pPr>
            <w:r>
              <w:rPr>
                <w:rFonts w:ascii="Arial" w:hAnsi="Arial" w:cs="Arial"/>
                <w:sz w:val="20"/>
                <w:szCs w:val="20"/>
              </w:rPr>
              <w:t>Head of International</w:t>
            </w:r>
          </w:p>
        </w:tc>
      </w:tr>
      <w:tr w:rsidR="00F5319A" w:rsidRPr="00B75089" w14:paraId="3DBB0C7B" w14:textId="77777777" w:rsidTr="00306334">
        <w:trPr>
          <w:trHeight w:val="278"/>
        </w:trPr>
        <w:tc>
          <w:tcPr>
            <w:tcW w:w="1560" w:type="dxa"/>
            <w:shd w:val="clear" w:color="auto" w:fill="D9D9D9" w:themeFill="background1" w:themeFillShade="D9"/>
            <w:vAlign w:val="center"/>
          </w:tcPr>
          <w:p w14:paraId="42912393"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Division:</w:t>
            </w:r>
          </w:p>
        </w:tc>
        <w:tc>
          <w:tcPr>
            <w:tcW w:w="3969" w:type="dxa"/>
            <w:vAlign w:val="center"/>
          </w:tcPr>
          <w:p w14:paraId="550E8F40" w14:textId="5419DBDE" w:rsidR="00F5319A" w:rsidRPr="00B75089" w:rsidRDefault="00C6771D" w:rsidP="00306334">
            <w:pPr>
              <w:pStyle w:val="Header"/>
              <w:spacing w:after="0"/>
              <w:rPr>
                <w:rFonts w:ascii="Arial" w:hAnsi="Arial" w:cs="Arial"/>
                <w:sz w:val="20"/>
                <w:szCs w:val="20"/>
              </w:rPr>
            </w:pPr>
            <w:r>
              <w:rPr>
                <w:rFonts w:ascii="Arial" w:hAnsi="Arial" w:cs="Arial"/>
                <w:sz w:val="20"/>
                <w:szCs w:val="20"/>
              </w:rPr>
              <w:t>Commercial</w:t>
            </w:r>
            <w:r w:rsidR="007213B7" w:rsidRPr="007213B7">
              <w:rPr>
                <w:rFonts w:ascii="Arial" w:hAnsi="Arial" w:cs="Arial"/>
                <w:sz w:val="20"/>
                <w:szCs w:val="20"/>
              </w:rPr>
              <w:t xml:space="preserve"> International</w:t>
            </w:r>
          </w:p>
        </w:tc>
        <w:tc>
          <w:tcPr>
            <w:tcW w:w="1985" w:type="dxa"/>
            <w:shd w:val="clear" w:color="auto" w:fill="D9D9D9" w:themeFill="background1" w:themeFillShade="D9"/>
            <w:vAlign w:val="center"/>
          </w:tcPr>
          <w:p w14:paraId="2A9A63B7" w14:textId="77777777" w:rsidR="00F5319A" w:rsidRPr="00B75089" w:rsidRDefault="006219B1" w:rsidP="00306334">
            <w:pPr>
              <w:pStyle w:val="Header"/>
              <w:spacing w:after="0"/>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2976" w:type="dxa"/>
            <w:vAlign w:val="center"/>
          </w:tcPr>
          <w:p w14:paraId="7FF038AC" w14:textId="6C6A2ED1" w:rsidR="00F5319A" w:rsidRPr="00B75089" w:rsidRDefault="007213B7" w:rsidP="00583281">
            <w:pPr>
              <w:pStyle w:val="Header"/>
              <w:spacing w:after="0"/>
              <w:rPr>
                <w:rFonts w:ascii="Arial" w:hAnsi="Arial" w:cs="Arial"/>
                <w:sz w:val="20"/>
                <w:szCs w:val="20"/>
              </w:rPr>
            </w:pPr>
            <w:r w:rsidRPr="007213B7">
              <w:rPr>
                <w:rFonts w:ascii="Arial" w:hAnsi="Arial" w:cs="Arial"/>
                <w:sz w:val="20"/>
                <w:szCs w:val="20"/>
              </w:rPr>
              <w:t>Business Development - International</w:t>
            </w:r>
          </w:p>
        </w:tc>
      </w:tr>
      <w:tr w:rsidR="00F5319A" w:rsidRPr="00B75089" w14:paraId="18C5A1E7" w14:textId="77777777" w:rsidTr="00C5762C">
        <w:trPr>
          <w:trHeight w:val="265"/>
        </w:trPr>
        <w:tc>
          <w:tcPr>
            <w:tcW w:w="1560" w:type="dxa"/>
            <w:vMerge w:val="restart"/>
            <w:shd w:val="clear" w:color="auto" w:fill="D9D9D9" w:themeFill="background1" w:themeFillShade="D9"/>
            <w:vAlign w:val="center"/>
          </w:tcPr>
          <w:p w14:paraId="4BDA9709"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3969" w:type="dxa"/>
            <w:vMerge w:val="restart"/>
          </w:tcPr>
          <w:p w14:paraId="1BE111A2" w14:textId="1BEA83A5" w:rsidR="00D93934" w:rsidRDefault="008F0259" w:rsidP="00A03B6F">
            <w:pPr>
              <w:pStyle w:val="Header"/>
              <w:spacing w:after="0"/>
              <w:rPr>
                <w:rFonts w:ascii="Arial" w:hAnsi="Arial" w:cs="Arial"/>
                <w:sz w:val="20"/>
                <w:szCs w:val="20"/>
              </w:rPr>
            </w:pPr>
            <w:r>
              <w:rPr>
                <w:rFonts w:ascii="Arial" w:hAnsi="Arial" w:cs="Arial"/>
                <w:sz w:val="20"/>
                <w:szCs w:val="20"/>
              </w:rPr>
              <w:t xml:space="preserve">Circa </w:t>
            </w:r>
            <w:r w:rsidR="00C6771D">
              <w:rPr>
                <w:rFonts w:ascii="Arial" w:hAnsi="Arial" w:cs="Arial"/>
                <w:sz w:val="20"/>
                <w:szCs w:val="20"/>
              </w:rPr>
              <w:t>4</w:t>
            </w:r>
            <w:r w:rsidR="006E6613">
              <w:rPr>
                <w:rFonts w:ascii="Arial" w:hAnsi="Arial" w:cs="Arial"/>
                <w:sz w:val="20"/>
                <w:szCs w:val="20"/>
              </w:rPr>
              <w:t xml:space="preserve"> direct report</w:t>
            </w:r>
            <w:r w:rsidR="00C6771D">
              <w:rPr>
                <w:rFonts w:ascii="Arial" w:hAnsi="Arial" w:cs="Arial"/>
                <w:sz w:val="20"/>
                <w:szCs w:val="20"/>
              </w:rPr>
              <w:t>s</w:t>
            </w:r>
            <w:r w:rsidR="006E6613">
              <w:rPr>
                <w:rFonts w:ascii="Arial" w:hAnsi="Arial" w:cs="Arial"/>
                <w:sz w:val="20"/>
                <w:szCs w:val="20"/>
              </w:rPr>
              <w:t xml:space="preserve"> </w:t>
            </w:r>
          </w:p>
          <w:p w14:paraId="246E33C4" w14:textId="77777777" w:rsidR="00583281" w:rsidRPr="002E11AF" w:rsidRDefault="00583281" w:rsidP="00637E20">
            <w:pPr>
              <w:pStyle w:val="Header"/>
              <w:spacing w:after="0"/>
              <w:ind w:left="360"/>
              <w:rPr>
                <w:rFonts w:ascii="Arial" w:hAnsi="Arial" w:cs="Arial"/>
                <w:sz w:val="20"/>
                <w:szCs w:val="20"/>
              </w:rPr>
            </w:pPr>
          </w:p>
        </w:tc>
        <w:tc>
          <w:tcPr>
            <w:tcW w:w="1985" w:type="dxa"/>
            <w:shd w:val="clear" w:color="auto" w:fill="D9D9D9" w:themeFill="background1" w:themeFillShade="D9"/>
            <w:vAlign w:val="center"/>
          </w:tcPr>
          <w:p w14:paraId="32C4BDB8"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Scope:</w:t>
            </w:r>
          </w:p>
        </w:tc>
        <w:tc>
          <w:tcPr>
            <w:tcW w:w="2976" w:type="dxa"/>
            <w:vAlign w:val="center"/>
          </w:tcPr>
          <w:p w14:paraId="40AF1BAD" w14:textId="596CD719" w:rsidR="00B75089" w:rsidRPr="00B75089" w:rsidRDefault="007F0E6B" w:rsidP="003A5A7A">
            <w:pPr>
              <w:pStyle w:val="Header"/>
              <w:spacing w:after="0"/>
              <w:ind w:left="34"/>
              <w:rPr>
                <w:rFonts w:ascii="Arial" w:hAnsi="Arial" w:cs="Arial"/>
                <w:sz w:val="20"/>
                <w:szCs w:val="20"/>
              </w:rPr>
            </w:pPr>
            <w:r>
              <w:rPr>
                <w:rFonts w:ascii="Arial" w:hAnsi="Arial" w:cs="Arial"/>
                <w:sz w:val="20"/>
                <w:szCs w:val="20"/>
              </w:rPr>
              <w:t>South Africa and Namibia</w:t>
            </w:r>
          </w:p>
        </w:tc>
      </w:tr>
      <w:tr w:rsidR="00F5319A" w:rsidRPr="00B75089" w14:paraId="71AA697F" w14:textId="77777777" w:rsidTr="00306334">
        <w:trPr>
          <w:trHeight w:val="350"/>
        </w:trPr>
        <w:tc>
          <w:tcPr>
            <w:tcW w:w="1560" w:type="dxa"/>
            <w:vMerge/>
            <w:shd w:val="clear" w:color="auto" w:fill="D9D9D9" w:themeFill="background1" w:themeFillShade="D9"/>
            <w:vAlign w:val="center"/>
          </w:tcPr>
          <w:p w14:paraId="70E0DD87" w14:textId="77777777" w:rsidR="00F5319A" w:rsidRPr="00B75089" w:rsidRDefault="00F5319A" w:rsidP="00306334">
            <w:pPr>
              <w:pStyle w:val="Header"/>
              <w:spacing w:after="0"/>
              <w:ind w:left="-11"/>
              <w:rPr>
                <w:rFonts w:ascii="Arial" w:hAnsi="Arial" w:cs="Arial"/>
                <w:b/>
                <w:sz w:val="20"/>
                <w:szCs w:val="20"/>
              </w:rPr>
            </w:pPr>
          </w:p>
        </w:tc>
        <w:tc>
          <w:tcPr>
            <w:tcW w:w="3969" w:type="dxa"/>
            <w:vMerge/>
            <w:vAlign w:val="center"/>
          </w:tcPr>
          <w:p w14:paraId="7D9F703C" w14:textId="77777777" w:rsidR="00F5319A" w:rsidRPr="00B75089" w:rsidRDefault="00F5319A" w:rsidP="00306334">
            <w:pPr>
              <w:pStyle w:val="Header"/>
              <w:spacing w:after="0"/>
              <w:rPr>
                <w:rFonts w:ascii="Arial" w:hAnsi="Arial" w:cs="Arial"/>
                <w:sz w:val="20"/>
                <w:szCs w:val="20"/>
              </w:rPr>
            </w:pPr>
          </w:p>
        </w:tc>
        <w:tc>
          <w:tcPr>
            <w:tcW w:w="1985" w:type="dxa"/>
            <w:shd w:val="clear" w:color="auto" w:fill="D9D9D9" w:themeFill="background1" w:themeFillShade="D9"/>
            <w:vAlign w:val="center"/>
          </w:tcPr>
          <w:p w14:paraId="68A1B916"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Scale:</w:t>
            </w:r>
          </w:p>
        </w:tc>
        <w:tc>
          <w:tcPr>
            <w:tcW w:w="2976" w:type="dxa"/>
            <w:vAlign w:val="center"/>
          </w:tcPr>
          <w:p w14:paraId="1F46749C" w14:textId="03A79142" w:rsidR="003A5A7A" w:rsidRPr="00B75089" w:rsidRDefault="008F0259" w:rsidP="003A5A7A">
            <w:pPr>
              <w:pStyle w:val="Header"/>
              <w:spacing w:after="0"/>
              <w:rPr>
                <w:rFonts w:ascii="Arial" w:hAnsi="Arial" w:cs="Arial"/>
                <w:sz w:val="20"/>
                <w:szCs w:val="20"/>
              </w:rPr>
            </w:pPr>
            <w:r>
              <w:rPr>
                <w:rFonts w:ascii="Arial" w:hAnsi="Arial" w:cs="Arial"/>
                <w:sz w:val="20"/>
                <w:szCs w:val="20"/>
              </w:rPr>
              <w:t>Direct reports</w:t>
            </w:r>
          </w:p>
          <w:p w14:paraId="6CF4428F" w14:textId="77777777" w:rsidR="00F5319A" w:rsidRPr="00B75089" w:rsidRDefault="00F5319A" w:rsidP="002E11AF">
            <w:pPr>
              <w:pStyle w:val="Header"/>
              <w:spacing w:after="0"/>
              <w:rPr>
                <w:rFonts w:ascii="Arial" w:hAnsi="Arial" w:cs="Arial"/>
                <w:sz w:val="20"/>
                <w:szCs w:val="20"/>
              </w:rPr>
            </w:pPr>
          </w:p>
        </w:tc>
      </w:tr>
      <w:tr w:rsidR="00F5319A" w:rsidRPr="00B75089" w14:paraId="0F3AE100" w14:textId="77777777" w:rsidTr="00306334">
        <w:trPr>
          <w:trHeight w:val="709"/>
        </w:trPr>
        <w:tc>
          <w:tcPr>
            <w:tcW w:w="1560" w:type="dxa"/>
            <w:vMerge/>
            <w:shd w:val="clear" w:color="auto" w:fill="D9D9D9" w:themeFill="background1" w:themeFillShade="D9"/>
            <w:vAlign w:val="center"/>
          </w:tcPr>
          <w:p w14:paraId="319E2F97" w14:textId="77777777" w:rsidR="00F5319A" w:rsidRPr="00B75089" w:rsidRDefault="00F5319A" w:rsidP="00306334">
            <w:pPr>
              <w:pStyle w:val="Header"/>
              <w:spacing w:after="0"/>
              <w:ind w:left="-11"/>
              <w:rPr>
                <w:rFonts w:ascii="Arial" w:hAnsi="Arial" w:cs="Arial"/>
                <w:b/>
                <w:sz w:val="20"/>
                <w:szCs w:val="20"/>
              </w:rPr>
            </w:pPr>
          </w:p>
        </w:tc>
        <w:tc>
          <w:tcPr>
            <w:tcW w:w="3969" w:type="dxa"/>
            <w:vMerge/>
            <w:vAlign w:val="center"/>
          </w:tcPr>
          <w:p w14:paraId="1C94707A" w14:textId="77777777" w:rsidR="00F5319A" w:rsidRPr="00B75089" w:rsidRDefault="00F5319A" w:rsidP="00306334">
            <w:pPr>
              <w:pStyle w:val="Header"/>
              <w:spacing w:after="0"/>
              <w:rPr>
                <w:rFonts w:ascii="Arial" w:hAnsi="Arial" w:cs="Arial"/>
                <w:sz w:val="20"/>
                <w:szCs w:val="20"/>
              </w:rPr>
            </w:pPr>
          </w:p>
        </w:tc>
        <w:tc>
          <w:tcPr>
            <w:tcW w:w="1985" w:type="dxa"/>
            <w:shd w:val="clear" w:color="auto" w:fill="D9D9D9" w:themeFill="background1" w:themeFillShade="D9"/>
            <w:vAlign w:val="center"/>
          </w:tcPr>
          <w:p w14:paraId="05ABA9C7" w14:textId="77777777" w:rsidR="00F5319A" w:rsidRPr="00B75089" w:rsidRDefault="007E7CA1" w:rsidP="00306334">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2976" w:type="dxa"/>
            <w:vAlign w:val="center"/>
          </w:tcPr>
          <w:p w14:paraId="259CE646" w14:textId="77777777" w:rsidR="00F5319A" w:rsidRPr="00B75089" w:rsidRDefault="003A5A7A" w:rsidP="00583281">
            <w:pPr>
              <w:pStyle w:val="Header"/>
              <w:spacing w:after="0"/>
              <w:rPr>
                <w:rFonts w:ascii="Arial" w:hAnsi="Arial" w:cs="Arial"/>
                <w:color w:val="FF0000"/>
                <w:sz w:val="20"/>
                <w:szCs w:val="20"/>
              </w:rPr>
            </w:pPr>
            <w:r>
              <w:rPr>
                <w:rFonts w:ascii="Arial" w:hAnsi="Arial" w:cs="Arial"/>
                <w:color w:val="000000" w:themeColor="text1"/>
                <w:sz w:val="20"/>
                <w:szCs w:val="20"/>
              </w:rPr>
              <w:t>No</w:t>
            </w:r>
          </w:p>
        </w:tc>
      </w:tr>
      <w:tr w:rsidR="007E7CA1" w:rsidRPr="00B75089" w14:paraId="7261FC37" w14:textId="77777777" w:rsidTr="00306334">
        <w:trPr>
          <w:trHeight w:val="333"/>
        </w:trPr>
        <w:tc>
          <w:tcPr>
            <w:tcW w:w="1560" w:type="dxa"/>
            <w:shd w:val="clear" w:color="auto" w:fill="D9D9D9" w:themeFill="background1" w:themeFillShade="D9"/>
            <w:vAlign w:val="center"/>
          </w:tcPr>
          <w:p w14:paraId="60D6811C" w14:textId="77777777" w:rsidR="007E7CA1" w:rsidRPr="00B75089" w:rsidRDefault="007E7CA1" w:rsidP="00306334">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969" w:type="dxa"/>
            <w:vAlign w:val="center"/>
          </w:tcPr>
          <w:p w14:paraId="2023ED49" w14:textId="77777777" w:rsidR="007E7CA1" w:rsidRPr="00B75089" w:rsidRDefault="004E4560" w:rsidP="00306334">
            <w:pPr>
              <w:pStyle w:val="Header"/>
              <w:spacing w:after="0"/>
              <w:rPr>
                <w:rFonts w:ascii="Arial" w:hAnsi="Arial" w:cs="Arial"/>
                <w:sz w:val="20"/>
                <w:szCs w:val="20"/>
              </w:rPr>
            </w:pPr>
            <w:r>
              <w:rPr>
                <w:rFonts w:ascii="Arial" w:hAnsi="Arial" w:cs="Arial"/>
                <w:sz w:val="20"/>
                <w:szCs w:val="20"/>
              </w:rPr>
              <w:t>Implement</w:t>
            </w:r>
            <w:r w:rsidR="001649C1">
              <w:rPr>
                <w:rFonts w:ascii="Arial" w:hAnsi="Arial" w:cs="Arial"/>
                <w:sz w:val="20"/>
                <w:szCs w:val="20"/>
              </w:rPr>
              <w:t xml:space="preserve"> 1</w:t>
            </w:r>
          </w:p>
        </w:tc>
        <w:tc>
          <w:tcPr>
            <w:tcW w:w="1985" w:type="dxa"/>
            <w:shd w:val="clear" w:color="auto" w:fill="D9D9D9" w:themeFill="background1" w:themeFillShade="D9"/>
            <w:vAlign w:val="center"/>
          </w:tcPr>
          <w:p w14:paraId="1D52C264" w14:textId="77777777" w:rsidR="007E7CA1" w:rsidRPr="00B75089" w:rsidRDefault="007E7CA1" w:rsidP="00306334">
            <w:pPr>
              <w:pStyle w:val="Header"/>
              <w:spacing w:after="0"/>
              <w:rPr>
                <w:rFonts w:ascii="Arial" w:hAnsi="Arial" w:cs="Arial"/>
                <w:b/>
                <w:sz w:val="20"/>
                <w:szCs w:val="20"/>
              </w:rPr>
            </w:pPr>
            <w:r w:rsidRPr="00B75089">
              <w:rPr>
                <w:rFonts w:ascii="Arial" w:hAnsi="Arial" w:cs="Arial"/>
                <w:b/>
                <w:sz w:val="20"/>
                <w:szCs w:val="20"/>
              </w:rPr>
              <w:t>Role Family</w:t>
            </w:r>
          </w:p>
        </w:tc>
        <w:tc>
          <w:tcPr>
            <w:tcW w:w="2976" w:type="dxa"/>
            <w:vAlign w:val="center"/>
          </w:tcPr>
          <w:p w14:paraId="0AF84B00" w14:textId="480443D4" w:rsidR="007E7CA1" w:rsidRPr="00B75089" w:rsidRDefault="00D94A6C" w:rsidP="004E4560">
            <w:pPr>
              <w:pStyle w:val="Header"/>
              <w:spacing w:after="0"/>
              <w:rPr>
                <w:rFonts w:ascii="Arial" w:hAnsi="Arial" w:cs="Arial"/>
                <w:color w:val="000000" w:themeColor="text1"/>
                <w:sz w:val="20"/>
                <w:szCs w:val="20"/>
              </w:rPr>
            </w:pPr>
            <w:r w:rsidRPr="00D94A6C">
              <w:rPr>
                <w:rFonts w:ascii="Arial" w:hAnsi="Arial" w:cs="Arial"/>
                <w:color w:val="000000" w:themeColor="text1"/>
                <w:sz w:val="20"/>
                <w:szCs w:val="20"/>
              </w:rPr>
              <w:t>Member Sales, Service and Advisory</w:t>
            </w:r>
          </w:p>
        </w:tc>
      </w:tr>
    </w:tbl>
    <w:p w14:paraId="3415B32E"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6D50257" w14:textId="77777777" w:rsidTr="00FE4353">
        <w:trPr>
          <w:trHeight w:val="456"/>
        </w:trPr>
        <w:tc>
          <w:tcPr>
            <w:tcW w:w="10509" w:type="dxa"/>
            <w:shd w:val="clear" w:color="auto" w:fill="D9D9D9" w:themeFill="background1" w:themeFillShade="D9"/>
            <w:vAlign w:val="center"/>
          </w:tcPr>
          <w:p w14:paraId="3F87C673" w14:textId="77777777" w:rsidR="009E22D0" w:rsidRPr="00B75089" w:rsidRDefault="009E22D0" w:rsidP="00FE4353">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1E526A3E" w14:textId="77777777" w:rsidTr="00C874F8">
        <w:trPr>
          <w:trHeight w:val="669"/>
        </w:trPr>
        <w:tc>
          <w:tcPr>
            <w:tcW w:w="10509" w:type="dxa"/>
            <w:vAlign w:val="center"/>
          </w:tcPr>
          <w:p w14:paraId="3CF501CA" w14:textId="22A0211E" w:rsidR="009E22D0" w:rsidRPr="002640B5" w:rsidRDefault="005C0103" w:rsidP="00863D4E">
            <w:pPr>
              <w:spacing w:after="0" w:line="260" w:lineRule="exact"/>
              <w:jc w:val="both"/>
              <w:rPr>
                <w:rFonts w:ascii="Arial" w:hAnsi="Arial" w:cs="Arial"/>
                <w:sz w:val="20"/>
                <w:szCs w:val="20"/>
              </w:rPr>
            </w:pPr>
            <w:r w:rsidRPr="005C0103">
              <w:rPr>
                <w:rFonts w:ascii="Arial" w:hAnsi="Arial" w:cs="Arial"/>
                <w:sz w:val="20"/>
                <w:szCs w:val="20"/>
              </w:rPr>
              <w:t>The purpose of the role is to deliver the South African commercial plan through effective execution of agreed strategy, with accountability for income, retention and member growth across defined segments and channels. The role translates strategic direction into market delivery, working in close collaboration with the Head of International and leading the BDE team to drive performance, partner engagement and operational alignment to ensure commercial activity converts into realised income.</w:t>
            </w:r>
          </w:p>
        </w:tc>
      </w:tr>
    </w:tbl>
    <w:p w14:paraId="5AC2876A"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771"/>
        <w:gridCol w:w="3716"/>
      </w:tblGrid>
      <w:tr w:rsidR="009E22D0" w:rsidRPr="00B75089" w14:paraId="567CBFAC" w14:textId="77777777" w:rsidTr="00C874F8">
        <w:trPr>
          <w:trHeight w:val="487"/>
        </w:trPr>
        <w:tc>
          <w:tcPr>
            <w:tcW w:w="6771" w:type="dxa"/>
            <w:shd w:val="clear" w:color="auto" w:fill="D9D9D9" w:themeFill="background1" w:themeFillShade="D9"/>
            <w:vAlign w:val="center"/>
          </w:tcPr>
          <w:p w14:paraId="73D1E4DE" w14:textId="77777777" w:rsidR="009E22D0" w:rsidRPr="00B75089" w:rsidRDefault="009E22D0" w:rsidP="002640B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716" w:type="dxa"/>
            <w:shd w:val="clear" w:color="auto" w:fill="D9D9D9" w:themeFill="background1" w:themeFillShade="D9"/>
            <w:vAlign w:val="center"/>
          </w:tcPr>
          <w:p w14:paraId="5646000C" w14:textId="77777777" w:rsidR="009E22D0" w:rsidRPr="00B75089" w:rsidRDefault="009E22D0" w:rsidP="002640B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14:paraId="4AA59426" w14:textId="77777777" w:rsidTr="00460FFC">
        <w:trPr>
          <w:trHeight w:val="4517"/>
        </w:trPr>
        <w:tc>
          <w:tcPr>
            <w:tcW w:w="6771" w:type="dxa"/>
          </w:tcPr>
          <w:p w14:paraId="0AD2183B" w14:textId="77777777" w:rsidR="00C5762C" w:rsidRDefault="00D84FA2" w:rsidP="00C5762C">
            <w:pPr>
              <w:spacing w:after="40"/>
              <w:rPr>
                <w:rFonts w:ascii="Arial" w:eastAsia="Calibri" w:hAnsi="Arial" w:cs="Arial"/>
                <w:b/>
                <w:sz w:val="20"/>
                <w:szCs w:val="20"/>
              </w:rPr>
            </w:pPr>
            <w:r w:rsidRPr="00FE4353">
              <w:rPr>
                <w:rFonts w:ascii="Arial" w:eastAsia="Calibri" w:hAnsi="Arial" w:cs="Arial"/>
                <w:b/>
                <w:sz w:val="20"/>
                <w:szCs w:val="20"/>
              </w:rPr>
              <w:t xml:space="preserve">Operational Leadership </w:t>
            </w:r>
          </w:p>
          <w:p w14:paraId="78371FBA" w14:textId="77777777" w:rsidR="00B37E24" w:rsidRPr="00B37E24" w:rsidRDefault="00B37E24" w:rsidP="00DE7F43">
            <w:pPr>
              <w:pStyle w:val="ListParagraph"/>
              <w:numPr>
                <w:ilvl w:val="0"/>
                <w:numId w:val="19"/>
              </w:numPr>
              <w:spacing w:before="120" w:after="80" w:line="260" w:lineRule="exact"/>
              <w:rPr>
                <w:rFonts w:ascii="Arial" w:hAnsi="Arial" w:cs="Arial"/>
                <w:sz w:val="20"/>
                <w:szCs w:val="20"/>
              </w:rPr>
            </w:pPr>
            <w:r w:rsidRPr="00B37E24">
              <w:rPr>
                <w:rFonts w:ascii="Arial" w:eastAsia="Calibri" w:hAnsi="Arial" w:cs="Arial"/>
                <w:sz w:val="20"/>
                <w:szCs w:val="20"/>
              </w:rPr>
              <w:t>Provide leadership to the South African Business Development function, ensuring delivery of the agreed commercial strategy, achievement of performance targets, and reinforcement of a high-performance, commercially focused culture.</w:t>
            </w:r>
          </w:p>
          <w:p w14:paraId="7C65B59A" w14:textId="77777777" w:rsidR="00F545B8" w:rsidRDefault="00F545B8" w:rsidP="004515EE">
            <w:pPr>
              <w:pStyle w:val="ListParagraph"/>
              <w:numPr>
                <w:ilvl w:val="0"/>
                <w:numId w:val="19"/>
              </w:numPr>
              <w:spacing w:before="120" w:beforeAutospacing="0" w:after="80" w:afterAutospacing="0"/>
              <w:rPr>
                <w:rFonts w:ascii="Arial" w:eastAsia="Calibri" w:hAnsi="Arial" w:cs="Arial"/>
                <w:sz w:val="20"/>
                <w:szCs w:val="20"/>
              </w:rPr>
            </w:pPr>
            <w:r w:rsidRPr="00F545B8">
              <w:rPr>
                <w:rFonts w:ascii="Arial" w:eastAsia="Calibri" w:hAnsi="Arial" w:cs="Arial"/>
                <w:sz w:val="20"/>
                <w:szCs w:val="20"/>
              </w:rPr>
              <w:t>Translate strategic direction into clear, executable plans across defined segments and channels, ensuring alignment with international priorities and local market dynamics.</w:t>
            </w:r>
          </w:p>
          <w:p w14:paraId="5BB3CE16" w14:textId="77777777" w:rsidR="00201C8F" w:rsidRDefault="00D277C5" w:rsidP="00D277C5">
            <w:pPr>
              <w:pStyle w:val="ListParagraph"/>
              <w:numPr>
                <w:ilvl w:val="0"/>
                <w:numId w:val="19"/>
              </w:numPr>
              <w:spacing w:before="120" w:after="80"/>
              <w:rPr>
                <w:rFonts w:ascii="Arial" w:eastAsia="Calibri" w:hAnsi="Arial" w:cs="Arial"/>
                <w:sz w:val="20"/>
                <w:szCs w:val="20"/>
              </w:rPr>
            </w:pPr>
            <w:r w:rsidRPr="00D277C5">
              <w:rPr>
                <w:rFonts w:ascii="Arial" w:eastAsia="Calibri" w:hAnsi="Arial" w:cs="Arial"/>
                <w:sz w:val="20"/>
                <w:szCs w:val="20"/>
              </w:rPr>
              <w:t>Lead the delivery of segment and channel performance, ensuring that activity, pipeline and conversion are effectively managed to achieve income, growth and retention targets.</w:t>
            </w:r>
          </w:p>
          <w:p w14:paraId="0FD84146" w14:textId="77777777" w:rsidR="00D277C5" w:rsidRDefault="008E7D10" w:rsidP="00D277C5">
            <w:pPr>
              <w:pStyle w:val="ListParagraph"/>
              <w:numPr>
                <w:ilvl w:val="0"/>
                <w:numId w:val="19"/>
              </w:numPr>
              <w:spacing w:before="120" w:after="80"/>
              <w:rPr>
                <w:rFonts w:ascii="Arial" w:eastAsia="Calibri" w:hAnsi="Arial" w:cs="Arial"/>
                <w:sz w:val="20"/>
                <w:szCs w:val="20"/>
              </w:rPr>
            </w:pPr>
            <w:r w:rsidRPr="008E7D10">
              <w:rPr>
                <w:rFonts w:ascii="Arial" w:eastAsia="Calibri" w:hAnsi="Arial" w:cs="Arial"/>
                <w:sz w:val="20"/>
                <w:szCs w:val="20"/>
              </w:rPr>
              <w:t>Drive a strong cross-functional working environment with Operations, Underwriting, Member Services and Marketing to ensure effective delivery of commercial outcomes.</w:t>
            </w:r>
          </w:p>
          <w:p w14:paraId="0A4A226A" w14:textId="0452ACC7" w:rsidR="008E7D10" w:rsidRPr="00D277C5" w:rsidRDefault="000F27EC" w:rsidP="00D277C5">
            <w:pPr>
              <w:pStyle w:val="ListParagraph"/>
              <w:numPr>
                <w:ilvl w:val="0"/>
                <w:numId w:val="19"/>
              </w:numPr>
              <w:spacing w:before="120" w:after="80"/>
              <w:rPr>
                <w:rFonts w:ascii="Arial" w:eastAsia="Calibri" w:hAnsi="Arial" w:cs="Arial"/>
                <w:sz w:val="20"/>
                <w:szCs w:val="20"/>
              </w:rPr>
            </w:pPr>
            <w:r w:rsidRPr="000F27EC">
              <w:rPr>
                <w:rFonts w:ascii="Arial" w:eastAsia="Calibri" w:hAnsi="Arial" w:cs="Arial"/>
                <w:sz w:val="20"/>
                <w:szCs w:val="20"/>
              </w:rPr>
              <w:t>Support execution of business development initiatives within the South African market, ensuring delivery to time, cost and quality with clear linkage to commercial outcomes.</w:t>
            </w:r>
          </w:p>
        </w:tc>
        <w:tc>
          <w:tcPr>
            <w:tcW w:w="3716" w:type="dxa"/>
          </w:tcPr>
          <w:p w14:paraId="759071DD" w14:textId="5170B594" w:rsidR="00D80353" w:rsidRPr="00D80353" w:rsidRDefault="00D80353" w:rsidP="00D80353">
            <w:pPr>
              <w:pStyle w:val="ListParagraph"/>
              <w:numPr>
                <w:ilvl w:val="0"/>
                <w:numId w:val="20"/>
              </w:numPr>
              <w:rPr>
                <w:rFonts w:ascii="Arial" w:eastAsia="Calibri" w:hAnsi="Arial" w:cs="Arial"/>
                <w:sz w:val="20"/>
                <w:szCs w:val="20"/>
              </w:rPr>
            </w:pPr>
            <w:r w:rsidRPr="00D80353">
              <w:rPr>
                <w:rFonts w:ascii="Arial" w:eastAsia="Calibri" w:hAnsi="Arial" w:cs="Arial"/>
                <w:sz w:val="20"/>
                <w:szCs w:val="20"/>
              </w:rPr>
              <w:t>Corporate Strategic Priorities vs Plan</w:t>
            </w:r>
          </w:p>
          <w:p w14:paraId="416D3514" w14:textId="5FE9473B" w:rsidR="00D80353" w:rsidRPr="00D80353" w:rsidRDefault="00D80353" w:rsidP="00D80353">
            <w:pPr>
              <w:pStyle w:val="ListParagraph"/>
              <w:numPr>
                <w:ilvl w:val="0"/>
                <w:numId w:val="20"/>
              </w:numPr>
              <w:rPr>
                <w:rFonts w:ascii="Arial" w:eastAsia="Calibri" w:hAnsi="Arial" w:cs="Arial"/>
                <w:sz w:val="20"/>
                <w:szCs w:val="20"/>
              </w:rPr>
            </w:pPr>
            <w:r w:rsidRPr="00D80353">
              <w:rPr>
                <w:rFonts w:ascii="Arial" w:eastAsia="Calibri" w:hAnsi="Arial" w:cs="Arial"/>
                <w:sz w:val="20"/>
                <w:szCs w:val="20"/>
              </w:rPr>
              <w:t>South Africa Commercial Plan delivery vs Plan</w:t>
            </w:r>
          </w:p>
          <w:p w14:paraId="159A1B9B" w14:textId="2F89A4C9" w:rsidR="00D80353" w:rsidRPr="00D80353" w:rsidRDefault="00D80353" w:rsidP="00D80353">
            <w:pPr>
              <w:pStyle w:val="ListParagraph"/>
              <w:numPr>
                <w:ilvl w:val="0"/>
                <w:numId w:val="20"/>
              </w:numPr>
              <w:rPr>
                <w:rFonts w:ascii="Arial" w:eastAsia="Calibri" w:hAnsi="Arial" w:cs="Arial"/>
                <w:sz w:val="20"/>
                <w:szCs w:val="20"/>
              </w:rPr>
            </w:pPr>
            <w:r w:rsidRPr="00D80353">
              <w:rPr>
                <w:rFonts w:ascii="Arial" w:eastAsia="Calibri" w:hAnsi="Arial" w:cs="Arial"/>
                <w:sz w:val="20"/>
                <w:szCs w:val="20"/>
              </w:rPr>
              <w:t>Delivery of segment and channel plans vs Plan</w:t>
            </w:r>
          </w:p>
          <w:p w14:paraId="5421CCE5" w14:textId="2701EE22" w:rsidR="00D80353" w:rsidRPr="00D80353" w:rsidRDefault="00D80353" w:rsidP="00D80353">
            <w:pPr>
              <w:pStyle w:val="ListParagraph"/>
              <w:numPr>
                <w:ilvl w:val="0"/>
                <w:numId w:val="20"/>
              </w:numPr>
              <w:rPr>
                <w:rFonts w:ascii="Arial" w:eastAsia="Calibri" w:hAnsi="Arial" w:cs="Arial"/>
                <w:sz w:val="20"/>
                <w:szCs w:val="20"/>
              </w:rPr>
            </w:pPr>
            <w:r w:rsidRPr="00D80353">
              <w:rPr>
                <w:rFonts w:ascii="Arial" w:eastAsia="Calibri" w:hAnsi="Arial" w:cs="Arial"/>
                <w:sz w:val="20"/>
                <w:szCs w:val="20"/>
              </w:rPr>
              <w:t>Delivery of business development initiatives to time, cost and quality</w:t>
            </w:r>
          </w:p>
          <w:p w14:paraId="2FBE40E3" w14:textId="34722E84" w:rsidR="00D80353" w:rsidRPr="00D80353" w:rsidRDefault="00D80353" w:rsidP="00D80353">
            <w:pPr>
              <w:pStyle w:val="ListParagraph"/>
              <w:numPr>
                <w:ilvl w:val="0"/>
                <w:numId w:val="20"/>
              </w:numPr>
              <w:rPr>
                <w:rFonts w:ascii="Arial" w:eastAsia="Calibri" w:hAnsi="Arial" w:cs="Arial"/>
                <w:sz w:val="20"/>
                <w:szCs w:val="20"/>
              </w:rPr>
            </w:pPr>
            <w:r w:rsidRPr="00D80353">
              <w:rPr>
                <w:rFonts w:ascii="Arial" w:eastAsia="Calibri" w:hAnsi="Arial" w:cs="Arial"/>
                <w:sz w:val="20"/>
                <w:szCs w:val="20"/>
              </w:rPr>
              <w:t>South Africa engagement index vs Plan</w:t>
            </w:r>
          </w:p>
          <w:p w14:paraId="30CC1A2F" w14:textId="17C1ACDB" w:rsidR="00D80353" w:rsidRPr="00D80353" w:rsidRDefault="00D80353" w:rsidP="00D80353">
            <w:pPr>
              <w:pStyle w:val="ListParagraph"/>
              <w:numPr>
                <w:ilvl w:val="0"/>
                <w:numId w:val="20"/>
              </w:numPr>
              <w:rPr>
                <w:rFonts w:ascii="Arial" w:eastAsia="Calibri" w:hAnsi="Arial" w:cs="Arial"/>
                <w:sz w:val="20"/>
                <w:szCs w:val="20"/>
              </w:rPr>
            </w:pPr>
            <w:r w:rsidRPr="00D80353">
              <w:rPr>
                <w:rFonts w:ascii="Arial" w:eastAsia="Calibri" w:hAnsi="Arial" w:cs="Arial"/>
                <w:sz w:val="20"/>
                <w:szCs w:val="20"/>
              </w:rPr>
              <w:t>South Africa leadership index vs Plan</w:t>
            </w:r>
          </w:p>
          <w:p w14:paraId="21154F1F" w14:textId="33280A87" w:rsidR="00D80353" w:rsidRPr="00D80353" w:rsidRDefault="00D80353" w:rsidP="00D80353">
            <w:pPr>
              <w:pStyle w:val="ListParagraph"/>
              <w:numPr>
                <w:ilvl w:val="0"/>
                <w:numId w:val="20"/>
              </w:numPr>
              <w:rPr>
                <w:rFonts w:ascii="Arial" w:eastAsia="Calibri" w:hAnsi="Arial" w:cs="Arial"/>
                <w:sz w:val="20"/>
                <w:szCs w:val="20"/>
              </w:rPr>
            </w:pPr>
            <w:r w:rsidRPr="00D80353">
              <w:rPr>
                <w:rFonts w:ascii="Arial" w:eastAsia="Calibri" w:hAnsi="Arial" w:cs="Arial"/>
                <w:sz w:val="20"/>
                <w:szCs w:val="20"/>
              </w:rPr>
              <w:t xml:space="preserve">Business Development and Engagement </w:t>
            </w:r>
            <w:proofErr w:type="spellStart"/>
            <w:r w:rsidRPr="00D80353">
              <w:rPr>
                <w:rFonts w:ascii="Arial" w:eastAsia="Calibri" w:hAnsi="Arial" w:cs="Arial"/>
                <w:sz w:val="20"/>
                <w:szCs w:val="20"/>
              </w:rPr>
              <w:t>engagement</w:t>
            </w:r>
            <w:proofErr w:type="spellEnd"/>
            <w:r w:rsidRPr="00D80353">
              <w:rPr>
                <w:rFonts w:ascii="Arial" w:eastAsia="Calibri" w:hAnsi="Arial" w:cs="Arial"/>
                <w:sz w:val="20"/>
                <w:szCs w:val="20"/>
              </w:rPr>
              <w:t xml:space="preserve"> index vs Plan</w:t>
            </w:r>
          </w:p>
          <w:p w14:paraId="49892E21" w14:textId="0FCBC477" w:rsidR="00D80353" w:rsidRPr="00D80353" w:rsidRDefault="00D80353" w:rsidP="00D80353">
            <w:pPr>
              <w:pStyle w:val="ListParagraph"/>
              <w:numPr>
                <w:ilvl w:val="0"/>
                <w:numId w:val="20"/>
              </w:numPr>
              <w:rPr>
                <w:rFonts w:ascii="Arial" w:eastAsia="Calibri" w:hAnsi="Arial" w:cs="Arial"/>
                <w:sz w:val="20"/>
                <w:szCs w:val="20"/>
              </w:rPr>
            </w:pPr>
            <w:r w:rsidRPr="00D80353">
              <w:rPr>
                <w:rFonts w:ascii="Arial" w:eastAsia="Calibri" w:hAnsi="Arial" w:cs="Arial"/>
                <w:sz w:val="20"/>
                <w:szCs w:val="20"/>
              </w:rPr>
              <w:t>Business Development and Engagement leadership index vs Plan</w:t>
            </w:r>
          </w:p>
          <w:p w14:paraId="56245389" w14:textId="1195EC9E" w:rsidR="009E22D0" w:rsidRPr="00B75089" w:rsidRDefault="00D80353" w:rsidP="00D80353">
            <w:pPr>
              <w:pStyle w:val="ListParagraph"/>
              <w:numPr>
                <w:ilvl w:val="0"/>
                <w:numId w:val="20"/>
              </w:numPr>
              <w:rPr>
                <w:rFonts w:ascii="Arial" w:hAnsi="Arial" w:cs="Arial"/>
                <w:sz w:val="20"/>
                <w:szCs w:val="20"/>
              </w:rPr>
            </w:pPr>
            <w:r w:rsidRPr="00D80353">
              <w:rPr>
                <w:rFonts w:ascii="Arial" w:eastAsia="Calibri" w:hAnsi="Arial" w:cs="Arial"/>
                <w:sz w:val="20"/>
                <w:szCs w:val="20"/>
              </w:rPr>
              <w:t>Delivery of people plans vs Plan</w:t>
            </w:r>
          </w:p>
        </w:tc>
      </w:tr>
      <w:tr w:rsidR="009E22D0" w:rsidRPr="00B75089" w14:paraId="066BAE31" w14:textId="77777777" w:rsidTr="00C874F8">
        <w:trPr>
          <w:trHeight w:val="578"/>
        </w:trPr>
        <w:tc>
          <w:tcPr>
            <w:tcW w:w="6771" w:type="dxa"/>
          </w:tcPr>
          <w:p w14:paraId="4D31466D" w14:textId="77777777" w:rsidR="009E22D0" w:rsidRPr="00FE4353" w:rsidRDefault="009E22D0" w:rsidP="00FE4353">
            <w:pPr>
              <w:spacing w:after="40"/>
              <w:rPr>
                <w:rFonts w:ascii="Arial" w:eastAsia="Calibri" w:hAnsi="Arial" w:cs="Arial"/>
                <w:b/>
                <w:sz w:val="20"/>
                <w:szCs w:val="20"/>
              </w:rPr>
            </w:pPr>
            <w:r w:rsidRPr="00FE4353">
              <w:rPr>
                <w:rFonts w:ascii="Arial" w:eastAsia="Calibri" w:hAnsi="Arial" w:cs="Arial"/>
                <w:b/>
                <w:sz w:val="20"/>
                <w:szCs w:val="20"/>
              </w:rPr>
              <w:t>Financial</w:t>
            </w:r>
          </w:p>
          <w:p w14:paraId="5F03D6B3" w14:textId="77777777" w:rsidR="00EE3F08" w:rsidRDefault="00E77672" w:rsidP="00EE3F08">
            <w:pPr>
              <w:pStyle w:val="ListParagraph"/>
              <w:numPr>
                <w:ilvl w:val="0"/>
                <w:numId w:val="19"/>
              </w:numPr>
              <w:spacing w:before="0" w:beforeAutospacing="0" w:after="40" w:afterAutospacing="0"/>
              <w:rPr>
                <w:rFonts w:ascii="Arial" w:eastAsia="Calibri" w:hAnsi="Arial" w:cs="Arial"/>
                <w:sz w:val="20"/>
                <w:szCs w:val="20"/>
              </w:rPr>
            </w:pPr>
            <w:r w:rsidRPr="00E77672">
              <w:rPr>
                <w:rFonts w:ascii="Arial" w:eastAsia="Calibri" w:hAnsi="Arial" w:cs="Arial"/>
                <w:sz w:val="20"/>
                <w:szCs w:val="20"/>
              </w:rPr>
              <w:t>Deliver income, retention and member growth targets in line with the agreed South African plan, ensuring disciplined execution across segments and channels.</w:t>
            </w:r>
          </w:p>
          <w:p w14:paraId="5BCE9702" w14:textId="77777777" w:rsidR="00E77672" w:rsidRDefault="00424E3F" w:rsidP="00EE3F08">
            <w:pPr>
              <w:pStyle w:val="ListParagraph"/>
              <w:numPr>
                <w:ilvl w:val="0"/>
                <w:numId w:val="19"/>
              </w:numPr>
              <w:spacing w:before="0" w:beforeAutospacing="0" w:after="40" w:afterAutospacing="0"/>
              <w:rPr>
                <w:rFonts w:ascii="Arial" w:eastAsia="Calibri" w:hAnsi="Arial" w:cs="Arial"/>
                <w:sz w:val="20"/>
                <w:szCs w:val="20"/>
              </w:rPr>
            </w:pPr>
            <w:r w:rsidRPr="00424E3F">
              <w:rPr>
                <w:rFonts w:ascii="Arial" w:eastAsia="Calibri" w:hAnsi="Arial" w:cs="Arial"/>
                <w:sz w:val="20"/>
                <w:szCs w:val="20"/>
              </w:rPr>
              <w:t>Support the Head of International in the development and delivery of the South African financial plan, ensuring that commercial assumptions, risks and opportunities are clearly understood and actioned.</w:t>
            </w:r>
          </w:p>
          <w:p w14:paraId="06181F40" w14:textId="77777777" w:rsidR="00424E3F" w:rsidRDefault="00424E3F" w:rsidP="00EE3F08">
            <w:pPr>
              <w:pStyle w:val="ListParagraph"/>
              <w:numPr>
                <w:ilvl w:val="0"/>
                <w:numId w:val="19"/>
              </w:numPr>
              <w:spacing w:before="0" w:beforeAutospacing="0" w:after="40" w:afterAutospacing="0"/>
              <w:rPr>
                <w:rFonts w:ascii="Arial" w:eastAsia="Calibri" w:hAnsi="Arial" w:cs="Arial"/>
                <w:sz w:val="20"/>
                <w:szCs w:val="20"/>
              </w:rPr>
            </w:pPr>
            <w:r w:rsidRPr="00424E3F">
              <w:rPr>
                <w:rFonts w:ascii="Arial" w:eastAsia="Calibri" w:hAnsi="Arial" w:cs="Arial"/>
                <w:sz w:val="20"/>
                <w:szCs w:val="20"/>
              </w:rPr>
              <w:t>Drive effective management of cost of sales through optimisation of channel mix, resource allocation and partner performance.</w:t>
            </w:r>
          </w:p>
          <w:p w14:paraId="04C8A206" w14:textId="77777777" w:rsidR="00424E3F" w:rsidRDefault="00F92621" w:rsidP="00EE3F08">
            <w:pPr>
              <w:pStyle w:val="ListParagraph"/>
              <w:numPr>
                <w:ilvl w:val="0"/>
                <w:numId w:val="19"/>
              </w:numPr>
              <w:spacing w:before="0" w:beforeAutospacing="0" w:after="40" w:afterAutospacing="0"/>
              <w:rPr>
                <w:rFonts w:ascii="Arial" w:eastAsia="Calibri" w:hAnsi="Arial" w:cs="Arial"/>
                <w:sz w:val="20"/>
                <w:szCs w:val="20"/>
              </w:rPr>
            </w:pPr>
            <w:r w:rsidRPr="00F92621">
              <w:rPr>
                <w:rFonts w:ascii="Arial" w:eastAsia="Calibri" w:hAnsi="Arial" w:cs="Arial"/>
                <w:sz w:val="20"/>
                <w:szCs w:val="20"/>
              </w:rPr>
              <w:lastRenderedPageBreak/>
              <w:t>Identify and proactively manage financial risks and variances to plan, implementing corrective actions to maintain delivery of commercial targets.</w:t>
            </w:r>
          </w:p>
          <w:p w14:paraId="7B08821D" w14:textId="77777777" w:rsidR="00F92621" w:rsidRDefault="003E6C88" w:rsidP="00EE3F08">
            <w:pPr>
              <w:pStyle w:val="ListParagraph"/>
              <w:numPr>
                <w:ilvl w:val="0"/>
                <w:numId w:val="19"/>
              </w:numPr>
              <w:spacing w:before="0" w:beforeAutospacing="0" w:after="40" w:afterAutospacing="0"/>
              <w:rPr>
                <w:rFonts w:ascii="Arial" w:eastAsia="Calibri" w:hAnsi="Arial" w:cs="Arial"/>
                <w:sz w:val="20"/>
                <w:szCs w:val="20"/>
              </w:rPr>
            </w:pPr>
            <w:r w:rsidRPr="003E6C88">
              <w:rPr>
                <w:rFonts w:ascii="Arial" w:eastAsia="Calibri" w:hAnsi="Arial" w:cs="Arial"/>
                <w:sz w:val="20"/>
                <w:szCs w:val="20"/>
              </w:rPr>
              <w:t>Ensure accurate tracking and reporting of financial performance, highlighting key drivers and variances.</w:t>
            </w:r>
          </w:p>
          <w:p w14:paraId="0C7FFCC4" w14:textId="7F0E75C4" w:rsidR="003E6C88" w:rsidRPr="00644BB2" w:rsidRDefault="003E6C88" w:rsidP="003E6C88">
            <w:pPr>
              <w:pStyle w:val="ListParagraph"/>
              <w:spacing w:before="0" w:beforeAutospacing="0" w:after="40" w:afterAutospacing="0"/>
              <w:ind w:left="360"/>
              <w:rPr>
                <w:rFonts w:ascii="Arial" w:eastAsia="Calibri" w:hAnsi="Arial" w:cs="Arial"/>
                <w:sz w:val="20"/>
                <w:szCs w:val="20"/>
              </w:rPr>
            </w:pPr>
          </w:p>
        </w:tc>
        <w:tc>
          <w:tcPr>
            <w:tcW w:w="3716" w:type="dxa"/>
            <w:vAlign w:val="center"/>
          </w:tcPr>
          <w:p w14:paraId="3498BE30" w14:textId="1C705793" w:rsidR="00F65C51" w:rsidRPr="00F65C51"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lastRenderedPageBreak/>
              <w:t>South Africa Income vs Plan (in-month and YTD)</w:t>
            </w:r>
          </w:p>
          <w:p w14:paraId="62C502BD" w14:textId="5074D542" w:rsidR="00F65C51" w:rsidRPr="00F65C51"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t>South Africa Income vs Plan (ex-FX)</w:t>
            </w:r>
          </w:p>
          <w:p w14:paraId="3B06FB8E" w14:textId="298A7455" w:rsidR="00F65C51" w:rsidRPr="00F65C51"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t>South Africa Member numbers vs Plan</w:t>
            </w:r>
          </w:p>
          <w:p w14:paraId="15ED49D6" w14:textId="20841CDB" w:rsidR="00F65C51" w:rsidRPr="00F65C51"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t>South Africa Retention vs Plan</w:t>
            </w:r>
          </w:p>
          <w:p w14:paraId="4B3642A6" w14:textId="322E4742" w:rsidR="00F65C51" w:rsidRPr="00F65C51"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t>South Africa New Business vs Plan</w:t>
            </w:r>
          </w:p>
          <w:p w14:paraId="7BA7C513" w14:textId="5CFE22EE" w:rsidR="00F65C51" w:rsidRPr="00F65C51"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t>South Africa Cost of Sales vs Plan</w:t>
            </w:r>
          </w:p>
          <w:p w14:paraId="6E4063E2" w14:textId="347F2D45" w:rsidR="00F65C51" w:rsidRPr="00F65C51"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t>South Africa Return on education vs Plan</w:t>
            </w:r>
          </w:p>
          <w:p w14:paraId="3744CA37" w14:textId="0FD59D3A" w:rsidR="00F65C51" w:rsidRPr="00F65C51"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lastRenderedPageBreak/>
              <w:t>Financial variance attribution (new business, retention, MTAs, cancellations, write-offs)</w:t>
            </w:r>
          </w:p>
          <w:p w14:paraId="248466E2" w14:textId="1C3A4C53" w:rsidR="009E22D0" w:rsidRPr="00FE4353" w:rsidRDefault="00F65C51" w:rsidP="00F65C51">
            <w:pPr>
              <w:pStyle w:val="ListParagraph"/>
              <w:numPr>
                <w:ilvl w:val="0"/>
                <w:numId w:val="20"/>
              </w:numPr>
              <w:rPr>
                <w:rFonts w:ascii="Arial" w:eastAsia="Calibri" w:hAnsi="Arial" w:cs="Arial"/>
                <w:sz w:val="20"/>
                <w:szCs w:val="20"/>
              </w:rPr>
            </w:pPr>
            <w:r w:rsidRPr="00F65C51">
              <w:rPr>
                <w:rFonts w:ascii="Arial" w:eastAsia="Calibri" w:hAnsi="Arial" w:cs="Arial"/>
                <w:sz w:val="20"/>
                <w:szCs w:val="20"/>
              </w:rPr>
              <w:t>Accuracy and timeliness of reporting</w:t>
            </w:r>
          </w:p>
        </w:tc>
      </w:tr>
      <w:tr w:rsidR="009E22D0" w:rsidRPr="00B75089" w14:paraId="3B960B14" w14:textId="77777777" w:rsidTr="00984F47">
        <w:trPr>
          <w:trHeight w:val="2047"/>
        </w:trPr>
        <w:tc>
          <w:tcPr>
            <w:tcW w:w="6771" w:type="dxa"/>
          </w:tcPr>
          <w:p w14:paraId="6C064937" w14:textId="77777777" w:rsidR="009E22D0" w:rsidRPr="00C874F8" w:rsidRDefault="009E22D0" w:rsidP="00C874F8">
            <w:pPr>
              <w:spacing w:after="40"/>
              <w:rPr>
                <w:rFonts w:ascii="Arial" w:eastAsia="Calibri" w:hAnsi="Arial" w:cs="Arial"/>
                <w:b/>
                <w:sz w:val="20"/>
                <w:szCs w:val="20"/>
              </w:rPr>
            </w:pPr>
            <w:r w:rsidRPr="00C874F8">
              <w:rPr>
                <w:rFonts w:ascii="Arial" w:eastAsia="Calibri" w:hAnsi="Arial" w:cs="Arial"/>
                <w:b/>
                <w:sz w:val="20"/>
                <w:szCs w:val="20"/>
              </w:rPr>
              <w:lastRenderedPageBreak/>
              <w:t>Member</w:t>
            </w:r>
          </w:p>
          <w:p w14:paraId="2E164968" w14:textId="77777777" w:rsidR="00175D07" w:rsidRDefault="00DE2D25" w:rsidP="00175D07">
            <w:pPr>
              <w:pStyle w:val="ListParagraph"/>
              <w:numPr>
                <w:ilvl w:val="0"/>
                <w:numId w:val="21"/>
              </w:numPr>
              <w:spacing w:before="80" w:beforeAutospacing="0" w:line="276" w:lineRule="auto"/>
              <w:ind w:left="357" w:hanging="357"/>
              <w:rPr>
                <w:rFonts w:ascii="Arial" w:eastAsia="Calibri" w:hAnsi="Arial" w:cs="Arial"/>
                <w:sz w:val="20"/>
                <w:szCs w:val="20"/>
              </w:rPr>
            </w:pPr>
            <w:r w:rsidRPr="00DE2D25">
              <w:rPr>
                <w:rFonts w:ascii="Arial" w:eastAsia="Calibri" w:hAnsi="Arial" w:cs="Arial"/>
                <w:sz w:val="20"/>
                <w:szCs w:val="20"/>
              </w:rPr>
              <w:t>Provide structured market and member insight to support execution of the South African commercial plan, ensuring that local dynamics and member needs are reflected in delivery.</w:t>
            </w:r>
          </w:p>
          <w:p w14:paraId="3FA75807" w14:textId="77777777" w:rsidR="00DE2D25" w:rsidRDefault="00DE2D25" w:rsidP="00175D07">
            <w:pPr>
              <w:pStyle w:val="ListParagraph"/>
              <w:numPr>
                <w:ilvl w:val="0"/>
                <w:numId w:val="21"/>
              </w:numPr>
              <w:spacing w:before="80" w:beforeAutospacing="0" w:line="276" w:lineRule="auto"/>
              <w:ind w:left="357" w:hanging="357"/>
              <w:rPr>
                <w:rFonts w:ascii="Arial" w:eastAsia="Calibri" w:hAnsi="Arial" w:cs="Arial"/>
                <w:sz w:val="20"/>
                <w:szCs w:val="20"/>
              </w:rPr>
            </w:pPr>
            <w:r w:rsidRPr="00DE2D25">
              <w:rPr>
                <w:rFonts w:ascii="Arial" w:eastAsia="Calibri" w:hAnsi="Arial" w:cs="Arial"/>
                <w:sz w:val="20"/>
                <w:szCs w:val="20"/>
              </w:rPr>
              <w:t>Maintain a strong focus on member experience and outcomes, ensuring consistency of service and engagement across all channels and touchpoints.</w:t>
            </w:r>
          </w:p>
          <w:p w14:paraId="06922C79" w14:textId="77777777" w:rsidR="00DE2D25" w:rsidRDefault="00251A60" w:rsidP="00175D07">
            <w:pPr>
              <w:pStyle w:val="ListParagraph"/>
              <w:numPr>
                <w:ilvl w:val="0"/>
                <w:numId w:val="21"/>
              </w:numPr>
              <w:spacing w:before="80" w:beforeAutospacing="0" w:line="276" w:lineRule="auto"/>
              <w:ind w:left="357" w:hanging="357"/>
              <w:rPr>
                <w:rFonts w:ascii="Arial" w:eastAsia="Calibri" w:hAnsi="Arial" w:cs="Arial"/>
                <w:sz w:val="20"/>
                <w:szCs w:val="20"/>
              </w:rPr>
            </w:pPr>
            <w:r w:rsidRPr="00251A60">
              <w:rPr>
                <w:rFonts w:ascii="Arial" w:eastAsia="Calibri" w:hAnsi="Arial" w:cs="Arial"/>
                <w:sz w:val="20"/>
                <w:szCs w:val="20"/>
              </w:rPr>
              <w:t>Monitor member feedback, satisfaction and retention trends, identifying areas for improvement and driving actions to enhance member value.</w:t>
            </w:r>
          </w:p>
          <w:p w14:paraId="06ED4B68" w14:textId="77777777" w:rsidR="00251A60" w:rsidRDefault="00251A60" w:rsidP="00175D07">
            <w:pPr>
              <w:pStyle w:val="ListParagraph"/>
              <w:numPr>
                <w:ilvl w:val="0"/>
                <w:numId w:val="21"/>
              </w:numPr>
              <w:spacing w:before="80" w:beforeAutospacing="0" w:line="276" w:lineRule="auto"/>
              <w:ind w:left="357" w:hanging="357"/>
              <w:rPr>
                <w:rFonts w:ascii="Arial" w:eastAsia="Calibri" w:hAnsi="Arial" w:cs="Arial"/>
                <w:sz w:val="20"/>
                <w:szCs w:val="20"/>
              </w:rPr>
            </w:pPr>
            <w:r w:rsidRPr="00251A60">
              <w:rPr>
                <w:rFonts w:ascii="Arial" w:eastAsia="Calibri" w:hAnsi="Arial" w:cs="Arial"/>
                <w:sz w:val="20"/>
                <w:szCs w:val="20"/>
              </w:rPr>
              <w:t>Support the delivery of relevant and competitive member propositions in collaboration with central teams, ensuring alignment to market expectations.</w:t>
            </w:r>
          </w:p>
          <w:p w14:paraId="48AFE54A" w14:textId="77777777" w:rsidR="00251A60" w:rsidRDefault="00570BE2" w:rsidP="00175D07">
            <w:pPr>
              <w:pStyle w:val="ListParagraph"/>
              <w:numPr>
                <w:ilvl w:val="0"/>
                <w:numId w:val="21"/>
              </w:numPr>
              <w:spacing w:before="80" w:beforeAutospacing="0" w:line="276" w:lineRule="auto"/>
              <w:ind w:left="357" w:hanging="357"/>
              <w:rPr>
                <w:rFonts w:ascii="Arial" w:eastAsia="Calibri" w:hAnsi="Arial" w:cs="Arial"/>
                <w:sz w:val="20"/>
                <w:szCs w:val="20"/>
              </w:rPr>
            </w:pPr>
            <w:r w:rsidRPr="00570BE2">
              <w:rPr>
                <w:rFonts w:ascii="Arial" w:eastAsia="Calibri" w:hAnsi="Arial" w:cs="Arial"/>
                <w:sz w:val="20"/>
                <w:szCs w:val="20"/>
              </w:rPr>
              <w:t>Maintain awareness of competitor activity and member behaviour, ensuring timely response to emerging risks and opportunities.</w:t>
            </w:r>
          </w:p>
          <w:p w14:paraId="546A2F7B" w14:textId="0494E5E3" w:rsidR="00570BE2" w:rsidRPr="00175D07" w:rsidRDefault="00570BE2" w:rsidP="00570BE2">
            <w:pPr>
              <w:pStyle w:val="ListParagraph"/>
              <w:spacing w:before="80" w:beforeAutospacing="0" w:line="276" w:lineRule="auto"/>
              <w:ind w:left="357"/>
              <w:rPr>
                <w:rFonts w:ascii="Arial" w:eastAsia="Calibri" w:hAnsi="Arial" w:cs="Arial"/>
                <w:sz w:val="20"/>
                <w:szCs w:val="20"/>
              </w:rPr>
            </w:pPr>
          </w:p>
        </w:tc>
        <w:tc>
          <w:tcPr>
            <w:tcW w:w="3716" w:type="dxa"/>
          </w:tcPr>
          <w:p w14:paraId="26A52392" w14:textId="56052E0B" w:rsidR="00025568" w:rsidRPr="00025568" w:rsidRDefault="00025568" w:rsidP="00025568">
            <w:pPr>
              <w:pStyle w:val="ListParagraph"/>
              <w:numPr>
                <w:ilvl w:val="0"/>
                <w:numId w:val="3"/>
              </w:numPr>
              <w:rPr>
                <w:rFonts w:ascii="Arial" w:hAnsi="Arial" w:cs="Arial"/>
                <w:sz w:val="20"/>
                <w:szCs w:val="20"/>
              </w:rPr>
            </w:pPr>
            <w:r w:rsidRPr="00025568">
              <w:rPr>
                <w:rFonts w:ascii="Arial" w:hAnsi="Arial" w:cs="Arial"/>
                <w:sz w:val="20"/>
                <w:szCs w:val="20"/>
              </w:rPr>
              <w:t>Net Promoter Score (NPS) vs Plan</w:t>
            </w:r>
          </w:p>
          <w:p w14:paraId="28526AB0" w14:textId="46C7EA9B" w:rsidR="00025568" w:rsidRPr="00025568" w:rsidRDefault="00025568" w:rsidP="00025568">
            <w:pPr>
              <w:pStyle w:val="ListParagraph"/>
              <w:numPr>
                <w:ilvl w:val="0"/>
                <w:numId w:val="3"/>
              </w:numPr>
              <w:rPr>
                <w:rFonts w:ascii="Arial" w:hAnsi="Arial" w:cs="Arial"/>
                <w:sz w:val="20"/>
                <w:szCs w:val="20"/>
              </w:rPr>
            </w:pPr>
            <w:r w:rsidRPr="00025568">
              <w:rPr>
                <w:rFonts w:ascii="Arial" w:hAnsi="Arial" w:cs="Arial"/>
                <w:sz w:val="20"/>
                <w:szCs w:val="20"/>
              </w:rPr>
              <w:t>Member Experience / Satisfaction Scores vs Plan</w:t>
            </w:r>
          </w:p>
          <w:p w14:paraId="7CD3A2D2" w14:textId="11A52F94" w:rsidR="00025568" w:rsidRPr="00025568" w:rsidRDefault="00025568" w:rsidP="00025568">
            <w:pPr>
              <w:pStyle w:val="ListParagraph"/>
              <w:numPr>
                <w:ilvl w:val="0"/>
                <w:numId w:val="3"/>
              </w:numPr>
              <w:rPr>
                <w:rFonts w:ascii="Arial" w:hAnsi="Arial" w:cs="Arial"/>
                <w:sz w:val="20"/>
                <w:szCs w:val="20"/>
              </w:rPr>
            </w:pPr>
            <w:r w:rsidRPr="00025568">
              <w:rPr>
                <w:rFonts w:ascii="Arial" w:hAnsi="Arial" w:cs="Arial"/>
                <w:sz w:val="20"/>
                <w:szCs w:val="20"/>
              </w:rPr>
              <w:t>Member Feedback trends and resolution</w:t>
            </w:r>
          </w:p>
          <w:p w14:paraId="5E1A5E07" w14:textId="01D2141E" w:rsidR="00025568" w:rsidRPr="00025568" w:rsidRDefault="00025568" w:rsidP="00025568">
            <w:pPr>
              <w:pStyle w:val="ListParagraph"/>
              <w:numPr>
                <w:ilvl w:val="0"/>
                <w:numId w:val="3"/>
              </w:numPr>
              <w:rPr>
                <w:rFonts w:ascii="Arial" w:hAnsi="Arial" w:cs="Arial"/>
                <w:sz w:val="20"/>
                <w:szCs w:val="20"/>
              </w:rPr>
            </w:pPr>
            <w:r w:rsidRPr="00025568">
              <w:rPr>
                <w:rFonts w:ascii="Arial" w:hAnsi="Arial" w:cs="Arial"/>
                <w:sz w:val="20"/>
                <w:szCs w:val="20"/>
              </w:rPr>
              <w:t>Retention performance vs Plan (supporting metric)</w:t>
            </w:r>
          </w:p>
          <w:p w14:paraId="3496299B" w14:textId="6DCA3196" w:rsidR="00025568" w:rsidRPr="00025568" w:rsidRDefault="00025568" w:rsidP="00025568">
            <w:pPr>
              <w:pStyle w:val="ListParagraph"/>
              <w:numPr>
                <w:ilvl w:val="0"/>
                <w:numId w:val="3"/>
              </w:numPr>
              <w:rPr>
                <w:rFonts w:ascii="Arial" w:hAnsi="Arial" w:cs="Arial"/>
                <w:sz w:val="20"/>
                <w:szCs w:val="20"/>
              </w:rPr>
            </w:pPr>
            <w:r w:rsidRPr="00025568">
              <w:rPr>
                <w:rFonts w:ascii="Arial" w:hAnsi="Arial" w:cs="Arial"/>
                <w:sz w:val="20"/>
                <w:szCs w:val="20"/>
              </w:rPr>
              <w:t>Conversion / retention targets vs Plan</w:t>
            </w:r>
          </w:p>
          <w:p w14:paraId="41F3A88D" w14:textId="4076B30E" w:rsidR="00A03B6F" w:rsidRPr="00644BB2" w:rsidRDefault="00025568" w:rsidP="00025568">
            <w:pPr>
              <w:pStyle w:val="ListParagraph"/>
              <w:numPr>
                <w:ilvl w:val="0"/>
                <w:numId w:val="3"/>
              </w:numPr>
              <w:rPr>
                <w:rFonts w:ascii="Arial" w:hAnsi="Arial" w:cs="Arial"/>
                <w:sz w:val="20"/>
                <w:szCs w:val="20"/>
              </w:rPr>
            </w:pPr>
            <w:r w:rsidRPr="00025568">
              <w:rPr>
                <w:rFonts w:ascii="Arial" w:hAnsi="Arial" w:cs="Arial"/>
                <w:sz w:val="20"/>
                <w:szCs w:val="20"/>
              </w:rPr>
              <w:t>Evidence of member insight informing commercial activity</w:t>
            </w:r>
          </w:p>
        </w:tc>
      </w:tr>
      <w:tr w:rsidR="009E22D0" w:rsidRPr="00B75089" w14:paraId="52BDCA82" w14:textId="77777777" w:rsidTr="00C5762C">
        <w:trPr>
          <w:trHeight w:val="1905"/>
        </w:trPr>
        <w:tc>
          <w:tcPr>
            <w:tcW w:w="6771" w:type="dxa"/>
            <w:vAlign w:val="center"/>
          </w:tcPr>
          <w:p w14:paraId="0633E0A6" w14:textId="77777777" w:rsidR="009E22D0" w:rsidRPr="00B75089" w:rsidRDefault="009E22D0" w:rsidP="007F096C">
            <w:pPr>
              <w:spacing w:after="100" w:line="240" w:lineRule="auto"/>
              <w:rPr>
                <w:rFonts w:ascii="Arial" w:hAnsi="Arial" w:cs="Arial"/>
                <w:b/>
                <w:sz w:val="20"/>
                <w:szCs w:val="20"/>
              </w:rPr>
            </w:pPr>
            <w:r w:rsidRPr="00B75089">
              <w:rPr>
                <w:rFonts w:ascii="Arial" w:hAnsi="Arial" w:cs="Arial"/>
                <w:b/>
                <w:sz w:val="20"/>
                <w:szCs w:val="20"/>
              </w:rPr>
              <w:t>People</w:t>
            </w:r>
          </w:p>
          <w:p w14:paraId="6A3A48D4" w14:textId="77777777" w:rsidR="002C1415" w:rsidRDefault="00BA742D" w:rsidP="00C5762C">
            <w:pPr>
              <w:pStyle w:val="ListParagraph"/>
              <w:numPr>
                <w:ilvl w:val="0"/>
                <w:numId w:val="4"/>
              </w:numPr>
              <w:rPr>
                <w:rFonts w:ascii="Arial" w:hAnsi="Arial" w:cs="Arial"/>
                <w:sz w:val="20"/>
                <w:szCs w:val="20"/>
              </w:rPr>
            </w:pPr>
            <w:r w:rsidRPr="00BA742D">
              <w:rPr>
                <w:rFonts w:ascii="Arial" w:hAnsi="Arial" w:cs="Arial"/>
                <w:sz w:val="20"/>
                <w:szCs w:val="20"/>
              </w:rPr>
              <w:t>Provide leadership to the Business Development Executive team, ensuring clarity of accountabilities, delivery against targets and alignment to commercial priorities.</w:t>
            </w:r>
          </w:p>
          <w:p w14:paraId="2837F7AB" w14:textId="77777777" w:rsidR="00BA742D" w:rsidRDefault="00BA742D" w:rsidP="00C5762C">
            <w:pPr>
              <w:pStyle w:val="ListParagraph"/>
              <w:numPr>
                <w:ilvl w:val="0"/>
                <w:numId w:val="4"/>
              </w:numPr>
              <w:rPr>
                <w:rFonts w:ascii="Arial" w:hAnsi="Arial" w:cs="Arial"/>
                <w:sz w:val="20"/>
                <w:szCs w:val="20"/>
              </w:rPr>
            </w:pPr>
            <w:r w:rsidRPr="00BA742D">
              <w:rPr>
                <w:rFonts w:ascii="Arial" w:hAnsi="Arial" w:cs="Arial"/>
                <w:sz w:val="20"/>
                <w:szCs w:val="20"/>
              </w:rPr>
              <w:t>Lead performance management across the team, setting clear activity, pipeline and conversion expectations and holding individuals accountable for delivery.</w:t>
            </w:r>
          </w:p>
          <w:p w14:paraId="1C0FB9BE" w14:textId="77777777" w:rsidR="00BA742D" w:rsidRDefault="00BF2257" w:rsidP="00C5762C">
            <w:pPr>
              <w:pStyle w:val="ListParagraph"/>
              <w:numPr>
                <w:ilvl w:val="0"/>
                <w:numId w:val="4"/>
              </w:numPr>
              <w:rPr>
                <w:rFonts w:ascii="Arial" w:hAnsi="Arial" w:cs="Arial"/>
                <w:sz w:val="20"/>
                <w:szCs w:val="20"/>
              </w:rPr>
            </w:pPr>
            <w:r w:rsidRPr="00BF2257">
              <w:rPr>
                <w:rFonts w:ascii="Arial" w:hAnsi="Arial" w:cs="Arial"/>
                <w:sz w:val="20"/>
                <w:szCs w:val="20"/>
              </w:rPr>
              <w:t>Build capability within the team through coaching, development and ongoing support, improving overall commercial effectiveness and consistency.</w:t>
            </w:r>
          </w:p>
          <w:p w14:paraId="6525D937" w14:textId="77777777" w:rsidR="00BF2257" w:rsidRDefault="00BF2257" w:rsidP="00C5762C">
            <w:pPr>
              <w:pStyle w:val="ListParagraph"/>
              <w:numPr>
                <w:ilvl w:val="0"/>
                <w:numId w:val="4"/>
              </w:numPr>
              <w:rPr>
                <w:rFonts w:ascii="Arial" w:hAnsi="Arial" w:cs="Arial"/>
                <w:sz w:val="20"/>
                <w:szCs w:val="20"/>
              </w:rPr>
            </w:pPr>
            <w:r w:rsidRPr="00BF2257">
              <w:rPr>
                <w:rFonts w:ascii="Arial" w:hAnsi="Arial" w:cs="Arial"/>
                <w:sz w:val="20"/>
                <w:szCs w:val="20"/>
              </w:rPr>
              <w:t>Foster a high-performance, commercially focused culture that reinforces accountability, ownership and delivery.</w:t>
            </w:r>
          </w:p>
          <w:p w14:paraId="1F07217A" w14:textId="77777777" w:rsidR="00BF2257" w:rsidRDefault="00382ACA" w:rsidP="00C5762C">
            <w:pPr>
              <w:pStyle w:val="ListParagraph"/>
              <w:numPr>
                <w:ilvl w:val="0"/>
                <w:numId w:val="4"/>
              </w:numPr>
              <w:rPr>
                <w:rFonts w:ascii="Arial" w:hAnsi="Arial" w:cs="Arial"/>
                <w:sz w:val="20"/>
                <w:szCs w:val="20"/>
              </w:rPr>
            </w:pPr>
            <w:r w:rsidRPr="00382ACA">
              <w:rPr>
                <w:rFonts w:ascii="Arial" w:hAnsi="Arial" w:cs="Arial"/>
                <w:sz w:val="20"/>
                <w:szCs w:val="20"/>
              </w:rPr>
              <w:t>Contribute to broader talent and succession planning within the Business Development function, supporting long-term capability development.</w:t>
            </w:r>
          </w:p>
          <w:p w14:paraId="5995509B" w14:textId="3C0B169E" w:rsidR="00382ACA" w:rsidRPr="00201C8F" w:rsidRDefault="00382ACA" w:rsidP="00382ACA">
            <w:pPr>
              <w:pStyle w:val="ListParagraph"/>
              <w:ind w:left="360"/>
              <w:rPr>
                <w:rFonts w:ascii="Arial" w:hAnsi="Arial" w:cs="Arial"/>
                <w:sz w:val="20"/>
                <w:szCs w:val="20"/>
              </w:rPr>
            </w:pPr>
          </w:p>
        </w:tc>
        <w:tc>
          <w:tcPr>
            <w:tcW w:w="3716" w:type="dxa"/>
          </w:tcPr>
          <w:p w14:paraId="363D717D" w14:textId="3382879F" w:rsidR="00F74780" w:rsidRPr="00F74780" w:rsidRDefault="00F74780" w:rsidP="00F74780">
            <w:pPr>
              <w:pStyle w:val="ListParagraph"/>
              <w:numPr>
                <w:ilvl w:val="0"/>
                <w:numId w:val="2"/>
              </w:numPr>
              <w:spacing w:after="0"/>
              <w:rPr>
                <w:rFonts w:ascii="Arial" w:hAnsi="Arial" w:cs="Arial"/>
                <w:sz w:val="20"/>
                <w:szCs w:val="20"/>
              </w:rPr>
            </w:pPr>
            <w:r w:rsidRPr="00F74780">
              <w:rPr>
                <w:rFonts w:ascii="Arial" w:hAnsi="Arial" w:cs="Arial"/>
                <w:sz w:val="20"/>
                <w:szCs w:val="20"/>
              </w:rPr>
              <w:t xml:space="preserve">Business Development and Engagement </w:t>
            </w:r>
            <w:proofErr w:type="spellStart"/>
            <w:r w:rsidRPr="00F74780">
              <w:rPr>
                <w:rFonts w:ascii="Arial" w:hAnsi="Arial" w:cs="Arial"/>
                <w:sz w:val="20"/>
                <w:szCs w:val="20"/>
              </w:rPr>
              <w:t>engagement</w:t>
            </w:r>
            <w:proofErr w:type="spellEnd"/>
            <w:r w:rsidRPr="00F74780">
              <w:rPr>
                <w:rFonts w:ascii="Arial" w:hAnsi="Arial" w:cs="Arial"/>
                <w:sz w:val="20"/>
                <w:szCs w:val="20"/>
              </w:rPr>
              <w:t xml:space="preserve"> index vs Plan</w:t>
            </w:r>
          </w:p>
          <w:p w14:paraId="6E378639" w14:textId="1D185E87" w:rsidR="00F74780" w:rsidRPr="00F74780" w:rsidRDefault="00F74780" w:rsidP="00F74780">
            <w:pPr>
              <w:pStyle w:val="ListParagraph"/>
              <w:numPr>
                <w:ilvl w:val="0"/>
                <w:numId w:val="2"/>
              </w:numPr>
              <w:spacing w:after="0"/>
              <w:rPr>
                <w:rFonts w:ascii="Arial" w:hAnsi="Arial" w:cs="Arial"/>
                <w:sz w:val="20"/>
                <w:szCs w:val="20"/>
              </w:rPr>
            </w:pPr>
            <w:r w:rsidRPr="00F74780">
              <w:rPr>
                <w:rFonts w:ascii="Arial" w:hAnsi="Arial" w:cs="Arial"/>
                <w:sz w:val="20"/>
                <w:szCs w:val="20"/>
              </w:rPr>
              <w:t>Business Development and Engagement leadership index vs Plan</w:t>
            </w:r>
          </w:p>
          <w:p w14:paraId="6325334A" w14:textId="53D5C2C0" w:rsidR="00F74780" w:rsidRPr="00F74780" w:rsidRDefault="00F74780" w:rsidP="00F74780">
            <w:pPr>
              <w:pStyle w:val="ListParagraph"/>
              <w:numPr>
                <w:ilvl w:val="0"/>
                <w:numId w:val="2"/>
              </w:numPr>
              <w:spacing w:after="0"/>
              <w:rPr>
                <w:rFonts w:ascii="Arial" w:hAnsi="Arial" w:cs="Arial"/>
                <w:sz w:val="20"/>
                <w:szCs w:val="20"/>
              </w:rPr>
            </w:pPr>
            <w:r w:rsidRPr="00F74780">
              <w:rPr>
                <w:rFonts w:ascii="Arial" w:hAnsi="Arial" w:cs="Arial"/>
                <w:sz w:val="20"/>
                <w:szCs w:val="20"/>
              </w:rPr>
              <w:t>Delivery of people plans vs Plan</w:t>
            </w:r>
          </w:p>
          <w:p w14:paraId="252D7E05" w14:textId="0A1C0E50" w:rsidR="00F74780" w:rsidRPr="00F74780" w:rsidRDefault="00F74780" w:rsidP="00F74780">
            <w:pPr>
              <w:pStyle w:val="ListParagraph"/>
              <w:numPr>
                <w:ilvl w:val="0"/>
                <w:numId w:val="2"/>
              </w:numPr>
              <w:spacing w:after="0"/>
              <w:rPr>
                <w:rFonts w:ascii="Arial" w:hAnsi="Arial" w:cs="Arial"/>
                <w:sz w:val="20"/>
                <w:szCs w:val="20"/>
              </w:rPr>
            </w:pPr>
            <w:r w:rsidRPr="00F74780">
              <w:rPr>
                <w:rFonts w:ascii="Arial" w:hAnsi="Arial" w:cs="Arial"/>
                <w:sz w:val="20"/>
                <w:szCs w:val="20"/>
              </w:rPr>
              <w:t>Team performance vs income, retention and activity targets</w:t>
            </w:r>
          </w:p>
          <w:p w14:paraId="5D483B04" w14:textId="35D2CB17" w:rsidR="00F74780" w:rsidRPr="00F74780" w:rsidRDefault="00F74780" w:rsidP="00F74780">
            <w:pPr>
              <w:pStyle w:val="ListParagraph"/>
              <w:numPr>
                <w:ilvl w:val="0"/>
                <w:numId w:val="2"/>
              </w:numPr>
              <w:spacing w:after="0"/>
              <w:rPr>
                <w:rFonts w:ascii="Arial" w:hAnsi="Arial" w:cs="Arial"/>
                <w:sz w:val="20"/>
                <w:szCs w:val="20"/>
              </w:rPr>
            </w:pPr>
            <w:r w:rsidRPr="00F74780">
              <w:rPr>
                <w:rFonts w:ascii="Arial" w:hAnsi="Arial" w:cs="Arial"/>
                <w:sz w:val="20"/>
                <w:szCs w:val="20"/>
              </w:rPr>
              <w:t>Strong talent and succession plans in place</w:t>
            </w:r>
          </w:p>
          <w:p w14:paraId="295C3DDB" w14:textId="3121606D" w:rsidR="009E22D0" w:rsidRPr="00B75089" w:rsidRDefault="00F74780" w:rsidP="00F74780">
            <w:pPr>
              <w:pStyle w:val="ListParagraph"/>
              <w:numPr>
                <w:ilvl w:val="0"/>
                <w:numId w:val="2"/>
              </w:numPr>
              <w:tabs>
                <w:tab w:val="left" w:pos="3145"/>
              </w:tabs>
              <w:spacing w:after="0"/>
              <w:rPr>
                <w:rFonts w:ascii="Arial" w:hAnsi="Arial" w:cs="Arial"/>
                <w:sz w:val="20"/>
                <w:szCs w:val="20"/>
              </w:rPr>
            </w:pPr>
            <w:r w:rsidRPr="00F74780">
              <w:rPr>
                <w:rFonts w:ascii="Arial" w:hAnsi="Arial" w:cs="Arial"/>
                <w:sz w:val="20"/>
                <w:szCs w:val="20"/>
              </w:rPr>
              <w:t>HR metrics – attrition, absence</w:t>
            </w:r>
          </w:p>
        </w:tc>
      </w:tr>
      <w:tr w:rsidR="009E22D0" w:rsidRPr="00B75089" w14:paraId="4DADFFC9" w14:textId="77777777" w:rsidTr="007F096C">
        <w:trPr>
          <w:trHeight w:val="1265"/>
        </w:trPr>
        <w:tc>
          <w:tcPr>
            <w:tcW w:w="6771" w:type="dxa"/>
          </w:tcPr>
          <w:p w14:paraId="560EAFCC" w14:textId="77777777" w:rsidR="009E22D0" w:rsidRPr="00B75089" w:rsidRDefault="009E22D0" w:rsidP="007F096C">
            <w:pPr>
              <w:spacing w:before="100" w:after="100" w:line="240" w:lineRule="auto"/>
              <w:rPr>
                <w:rFonts w:ascii="Arial" w:hAnsi="Arial" w:cs="Arial"/>
                <w:b/>
                <w:sz w:val="20"/>
                <w:szCs w:val="20"/>
              </w:rPr>
            </w:pPr>
            <w:r w:rsidRPr="00B75089">
              <w:rPr>
                <w:rFonts w:ascii="Arial" w:hAnsi="Arial" w:cs="Arial"/>
                <w:b/>
                <w:sz w:val="20"/>
                <w:szCs w:val="20"/>
              </w:rPr>
              <w:t>Risk</w:t>
            </w:r>
          </w:p>
          <w:p w14:paraId="646F9B8A" w14:textId="77777777" w:rsidR="00BD4147" w:rsidRDefault="00BD4147" w:rsidP="007F096C">
            <w:pPr>
              <w:pStyle w:val="ListParagraph"/>
              <w:numPr>
                <w:ilvl w:val="0"/>
                <w:numId w:val="4"/>
              </w:numPr>
              <w:spacing w:before="0" w:beforeAutospacing="0"/>
              <w:rPr>
                <w:rFonts w:ascii="Arial" w:hAnsi="Arial" w:cs="Arial"/>
                <w:sz w:val="20"/>
                <w:szCs w:val="20"/>
              </w:rPr>
            </w:pPr>
            <w:r w:rsidRPr="00BD4147">
              <w:rPr>
                <w:rFonts w:ascii="Arial" w:hAnsi="Arial" w:cs="Arial"/>
                <w:sz w:val="20"/>
                <w:szCs w:val="20"/>
              </w:rPr>
              <w:t>Identify and escalate commercial, operational and conduct risks within the South African market, ensuring timely mitigation and resolution.</w:t>
            </w:r>
          </w:p>
          <w:p w14:paraId="0D415C91" w14:textId="77777777" w:rsidR="009D7DEC" w:rsidRDefault="009D7DEC" w:rsidP="007F096C">
            <w:pPr>
              <w:pStyle w:val="ListParagraph"/>
              <w:numPr>
                <w:ilvl w:val="0"/>
                <w:numId w:val="4"/>
              </w:numPr>
              <w:spacing w:before="0" w:beforeAutospacing="0"/>
              <w:rPr>
                <w:rFonts w:ascii="Arial" w:hAnsi="Arial" w:cs="Arial"/>
                <w:sz w:val="20"/>
                <w:szCs w:val="20"/>
              </w:rPr>
            </w:pPr>
            <w:r w:rsidRPr="009D7DEC">
              <w:rPr>
                <w:rFonts w:ascii="Arial" w:hAnsi="Arial" w:cs="Arial"/>
                <w:sz w:val="20"/>
                <w:szCs w:val="20"/>
              </w:rPr>
              <w:t>Ensure adherence to all relevant governance, regulatory requirements and internal policies, maintaining appropriate oversight of business activities.</w:t>
            </w:r>
          </w:p>
          <w:p w14:paraId="013E5D56" w14:textId="77777777" w:rsidR="009D7DEC" w:rsidRDefault="009D7DEC" w:rsidP="007F096C">
            <w:pPr>
              <w:pStyle w:val="ListParagraph"/>
              <w:numPr>
                <w:ilvl w:val="0"/>
                <w:numId w:val="4"/>
              </w:numPr>
              <w:spacing w:before="0" w:beforeAutospacing="0"/>
              <w:rPr>
                <w:rFonts w:ascii="Arial" w:hAnsi="Arial" w:cs="Arial"/>
                <w:sz w:val="20"/>
                <w:szCs w:val="20"/>
              </w:rPr>
            </w:pPr>
            <w:r w:rsidRPr="009D7DEC">
              <w:rPr>
                <w:rFonts w:ascii="Arial" w:hAnsi="Arial" w:cs="Arial"/>
                <w:sz w:val="20"/>
                <w:szCs w:val="20"/>
              </w:rPr>
              <w:t>Support the maintenance of effective controls and processes to manage risk within appetite, particularly in relation to member outcomes and financial exposure.</w:t>
            </w:r>
          </w:p>
          <w:p w14:paraId="45C4EA4C" w14:textId="77777777" w:rsidR="004F493A" w:rsidRDefault="004F493A" w:rsidP="007F096C">
            <w:pPr>
              <w:pStyle w:val="ListParagraph"/>
              <w:numPr>
                <w:ilvl w:val="0"/>
                <w:numId w:val="4"/>
              </w:numPr>
              <w:spacing w:before="0" w:beforeAutospacing="0"/>
              <w:rPr>
                <w:rFonts w:ascii="Arial" w:hAnsi="Arial" w:cs="Arial"/>
                <w:sz w:val="20"/>
                <w:szCs w:val="20"/>
              </w:rPr>
            </w:pPr>
            <w:r w:rsidRPr="004F493A">
              <w:rPr>
                <w:rFonts w:ascii="Arial" w:hAnsi="Arial" w:cs="Arial"/>
                <w:sz w:val="20"/>
                <w:szCs w:val="20"/>
              </w:rPr>
              <w:t>Maintain awareness of potential reputational risks arising from commercial activity, partner engagement or service delivery.</w:t>
            </w:r>
          </w:p>
          <w:p w14:paraId="0C7B0565" w14:textId="423D2DFE" w:rsidR="007F096C" w:rsidRPr="00644BB2" w:rsidRDefault="004F493A" w:rsidP="007F096C">
            <w:pPr>
              <w:pStyle w:val="ListParagraph"/>
              <w:numPr>
                <w:ilvl w:val="0"/>
                <w:numId w:val="4"/>
              </w:numPr>
              <w:spacing w:before="0" w:beforeAutospacing="0"/>
              <w:rPr>
                <w:rFonts w:ascii="Arial" w:hAnsi="Arial" w:cs="Arial"/>
                <w:sz w:val="20"/>
                <w:szCs w:val="20"/>
              </w:rPr>
            </w:pPr>
            <w:r w:rsidRPr="004F493A">
              <w:rPr>
                <w:rFonts w:ascii="Arial" w:hAnsi="Arial" w:cs="Arial"/>
                <w:sz w:val="20"/>
                <w:szCs w:val="20"/>
              </w:rPr>
              <w:t>Contribute to risk reporting and governance processes, ensuring transparency and accountability across the function.</w:t>
            </w:r>
            <w:r w:rsidR="00201C8F">
              <w:rPr>
                <w:rFonts w:ascii="Arial" w:hAnsi="Arial" w:cs="Arial"/>
                <w:sz w:val="20"/>
                <w:szCs w:val="20"/>
              </w:rPr>
              <w:br/>
            </w:r>
          </w:p>
        </w:tc>
        <w:tc>
          <w:tcPr>
            <w:tcW w:w="3716" w:type="dxa"/>
            <w:vAlign w:val="center"/>
          </w:tcPr>
          <w:p w14:paraId="0B9B0C06" w14:textId="78187325" w:rsidR="00F25F96" w:rsidRPr="00F25F96" w:rsidRDefault="00F25F96" w:rsidP="00F25F96">
            <w:pPr>
              <w:pStyle w:val="ListParagraph"/>
              <w:numPr>
                <w:ilvl w:val="0"/>
                <w:numId w:val="22"/>
              </w:numPr>
              <w:rPr>
                <w:rFonts w:ascii="Arial" w:eastAsia="Calibri" w:hAnsi="Arial" w:cs="Arial"/>
                <w:sz w:val="20"/>
                <w:szCs w:val="20"/>
              </w:rPr>
            </w:pPr>
            <w:r w:rsidRPr="00F25F96">
              <w:rPr>
                <w:rFonts w:ascii="Arial" w:eastAsia="Calibri" w:hAnsi="Arial" w:cs="Arial"/>
                <w:sz w:val="20"/>
                <w:szCs w:val="20"/>
              </w:rPr>
              <w:t>Risk &amp; Control Self-Assessments (RCSA) completion and quality</w:t>
            </w:r>
          </w:p>
          <w:p w14:paraId="5628E6F8" w14:textId="57C56871" w:rsidR="00F25F96" w:rsidRPr="00F25F96" w:rsidRDefault="00F25F96" w:rsidP="00F25F96">
            <w:pPr>
              <w:pStyle w:val="ListParagraph"/>
              <w:numPr>
                <w:ilvl w:val="0"/>
                <w:numId w:val="22"/>
              </w:numPr>
              <w:rPr>
                <w:rFonts w:ascii="Arial" w:eastAsia="Calibri" w:hAnsi="Arial" w:cs="Arial"/>
                <w:sz w:val="20"/>
                <w:szCs w:val="20"/>
              </w:rPr>
            </w:pPr>
            <w:r w:rsidRPr="00F25F96">
              <w:rPr>
                <w:rFonts w:ascii="Arial" w:eastAsia="Calibri" w:hAnsi="Arial" w:cs="Arial"/>
                <w:sz w:val="20"/>
                <w:szCs w:val="20"/>
              </w:rPr>
              <w:t>Audit actions delivered to plan</w:t>
            </w:r>
          </w:p>
          <w:p w14:paraId="7A31990C" w14:textId="221DD97E" w:rsidR="00F25F96" w:rsidRPr="00F25F96" w:rsidRDefault="00F25F96" w:rsidP="00F25F96">
            <w:pPr>
              <w:pStyle w:val="ListParagraph"/>
              <w:numPr>
                <w:ilvl w:val="0"/>
                <w:numId w:val="22"/>
              </w:numPr>
              <w:rPr>
                <w:rFonts w:ascii="Arial" w:eastAsia="Calibri" w:hAnsi="Arial" w:cs="Arial"/>
                <w:sz w:val="20"/>
                <w:szCs w:val="20"/>
              </w:rPr>
            </w:pPr>
            <w:r w:rsidRPr="00F25F96">
              <w:rPr>
                <w:rFonts w:ascii="Arial" w:eastAsia="Calibri" w:hAnsi="Arial" w:cs="Arial"/>
                <w:sz w:val="20"/>
                <w:szCs w:val="20"/>
              </w:rPr>
              <w:t>Compliance with governance and regulatory requirements</w:t>
            </w:r>
          </w:p>
          <w:p w14:paraId="5BC96335" w14:textId="60743DDC" w:rsidR="00F25F96" w:rsidRPr="00F25F96" w:rsidRDefault="00F25F96" w:rsidP="00F25F96">
            <w:pPr>
              <w:pStyle w:val="ListParagraph"/>
              <w:numPr>
                <w:ilvl w:val="0"/>
                <w:numId w:val="22"/>
              </w:numPr>
              <w:rPr>
                <w:rFonts w:ascii="Arial" w:eastAsia="Calibri" w:hAnsi="Arial" w:cs="Arial"/>
                <w:sz w:val="20"/>
                <w:szCs w:val="20"/>
              </w:rPr>
            </w:pPr>
            <w:r w:rsidRPr="00F25F96">
              <w:rPr>
                <w:rFonts w:ascii="Arial" w:eastAsia="Calibri" w:hAnsi="Arial" w:cs="Arial"/>
                <w:sz w:val="20"/>
                <w:szCs w:val="20"/>
              </w:rPr>
              <w:t>Conduct risk indicators / member outcome measures</w:t>
            </w:r>
          </w:p>
          <w:p w14:paraId="7294B343" w14:textId="57F0D333" w:rsidR="009E22D0" w:rsidRPr="00B75089" w:rsidRDefault="00F25F96" w:rsidP="00F25F96">
            <w:pPr>
              <w:pStyle w:val="ListParagraph"/>
              <w:numPr>
                <w:ilvl w:val="0"/>
                <w:numId w:val="22"/>
              </w:numPr>
              <w:rPr>
                <w:rFonts w:ascii="Arial" w:hAnsi="Arial" w:cs="Arial"/>
                <w:sz w:val="20"/>
                <w:szCs w:val="20"/>
              </w:rPr>
            </w:pPr>
            <w:r w:rsidRPr="00F25F96">
              <w:rPr>
                <w:rFonts w:ascii="Arial" w:eastAsia="Calibri" w:hAnsi="Arial" w:cs="Arial"/>
                <w:sz w:val="20"/>
                <w:szCs w:val="20"/>
              </w:rPr>
              <w:t>Timely identification and escalation of risks</w:t>
            </w:r>
          </w:p>
        </w:tc>
      </w:tr>
    </w:tbl>
    <w:p w14:paraId="273A91F8"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20BFBF0B" w14:textId="77777777" w:rsidTr="00AA0FE5">
        <w:trPr>
          <w:trHeight w:val="383"/>
        </w:trPr>
        <w:tc>
          <w:tcPr>
            <w:tcW w:w="10490" w:type="dxa"/>
            <w:shd w:val="clear" w:color="auto" w:fill="D9D9D9" w:themeFill="background1" w:themeFillShade="D9"/>
            <w:vAlign w:val="center"/>
          </w:tcPr>
          <w:p w14:paraId="0CFEA9AB" w14:textId="77777777" w:rsidR="009E22D0" w:rsidRPr="00B75089" w:rsidRDefault="009E22D0"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lastRenderedPageBreak/>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6471D40E" w14:textId="77777777" w:rsidTr="001521C6">
        <w:trPr>
          <w:trHeight w:val="2151"/>
        </w:trPr>
        <w:tc>
          <w:tcPr>
            <w:tcW w:w="10490" w:type="dxa"/>
          </w:tcPr>
          <w:p w14:paraId="4FA6F0F0" w14:textId="77777777" w:rsidR="00002F12" w:rsidRPr="00626801" w:rsidRDefault="00626801" w:rsidP="001521C6">
            <w:pPr>
              <w:pStyle w:val="NoSpacing"/>
              <w:numPr>
                <w:ilvl w:val="0"/>
                <w:numId w:val="28"/>
              </w:numPr>
              <w:rPr>
                <w:rFonts w:ascii="Arial" w:hAnsi="Arial" w:cs="Arial"/>
                <w:sz w:val="20"/>
                <w:szCs w:val="20"/>
              </w:rPr>
            </w:pPr>
            <w:r w:rsidRPr="00626801">
              <w:rPr>
                <w:rFonts w:ascii="Arial" w:hAnsi="Arial" w:cs="Arial"/>
                <w:color w:val="232629"/>
                <w:sz w:val="20"/>
                <w:szCs w:val="20"/>
                <w:lang w:val="en"/>
              </w:rPr>
              <w:t>Execute South Africa commercial strategy in alignment with the Head of International, ensuring clear translation of priorities into actionable plans.</w:t>
            </w:r>
          </w:p>
          <w:p w14:paraId="76A3A6CF" w14:textId="6D026D0B" w:rsidR="008147AA" w:rsidRPr="008147AA" w:rsidRDefault="008147AA" w:rsidP="008147AA">
            <w:pPr>
              <w:pStyle w:val="NoSpacing"/>
              <w:numPr>
                <w:ilvl w:val="0"/>
                <w:numId w:val="28"/>
              </w:numPr>
              <w:rPr>
                <w:rFonts w:ascii="Arial" w:hAnsi="Arial" w:cs="Arial"/>
                <w:sz w:val="20"/>
                <w:szCs w:val="20"/>
              </w:rPr>
            </w:pPr>
            <w:r w:rsidRPr="008147AA">
              <w:rPr>
                <w:rFonts w:ascii="Arial" w:hAnsi="Arial" w:cs="Arial"/>
                <w:sz w:val="20"/>
                <w:szCs w:val="20"/>
              </w:rPr>
              <w:t>Lead and manage the BDE team to deliver against defined income, retention and growth targets, ensuring disciplined execution and performance management.</w:t>
            </w:r>
          </w:p>
          <w:p w14:paraId="52CFA02A" w14:textId="7EAAC52E" w:rsidR="008147AA" w:rsidRPr="008147AA" w:rsidRDefault="008147AA" w:rsidP="008147AA">
            <w:pPr>
              <w:pStyle w:val="NoSpacing"/>
              <w:numPr>
                <w:ilvl w:val="0"/>
                <w:numId w:val="28"/>
              </w:numPr>
              <w:rPr>
                <w:rFonts w:ascii="Arial" w:hAnsi="Arial" w:cs="Arial"/>
                <w:sz w:val="20"/>
                <w:szCs w:val="20"/>
              </w:rPr>
            </w:pPr>
            <w:r w:rsidRPr="008147AA">
              <w:rPr>
                <w:rFonts w:ascii="Arial" w:hAnsi="Arial" w:cs="Arial"/>
                <w:sz w:val="20"/>
                <w:szCs w:val="20"/>
              </w:rPr>
              <w:t>Manage key partner and scheme relationships, ensuring alignment to commercial objectives and delivery of measurable outcomes.</w:t>
            </w:r>
          </w:p>
          <w:p w14:paraId="77F512C0" w14:textId="64E784DC" w:rsidR="008147AA" w:rsidRPr="008147AA" w:rsidRDefault="008147AA" w:rsidP="008147AA">
            <w:pPr>
              <w:pStyle w:val="NoSpacing"/>
              <w:numPr>
                <w:ilvl w:val="0"/>
                <w:numId w:val="28"/>
              </w:numPr>
              <w:rPr>
                <w:rFonts w:ascii="Arial" w:hAnsi="Arial" w:cs="Arial"/>
                <w:sz w:val="20"/>
                <w:szCs w:val="20"/>
              </w:rPr>
            </w:pPr>
            <w:r w:rsidRPr="008147AA">
              <w:rPr>
                <w:rFonts w:ascii="Arial" w:hAnsi="Arial" w:cs="Arial"/>
                <w:sz w:val="20"/>
                <w:szCs w:val="20"/>
              </w:rPr>
              <w:t>Drive execution of group and institutional opportunities within agreed parameters, supporting scalable growth across segments.</w:t>
            </w:r>
          </w:p>
          <w:p w14:paraId="35998B9D" w14:textId="09D93B7B" w:rsidR="008147AA" w:rsidRPr="008147AA" w:rsidRDefault="008147AA" w:rsidP="008147AA">
            <w:pPr>
              <w:pStyle w:val="NoSpacing"/>
              <w:numPr>
                <w:ilvl w:val="0"/>
                <w:numId w:val="28"/>
              </w:numPr>
              <w:rPr>
                <w:rFonts w:ascii="Arial" w:hAnsi="Arial" w:cs="Arial"/>
                <w:sz w:val="20"/>
                <w:szCs w:val="20"/>
              </w:rPr>
            </w:pPr>
            <w:r w:rsidRPr="008147AA">
              <w:rPr>
                <w:rFonts w:ascii="Arial" w:hAnsi="Arial" w:cs="Arial"/>
                <w:sz w:val="20"/>
                <w:szCs w:val="20"/>
              </w:rPr>
              <w:t>Ensure an effective channel-to-market mix (direct and partner), optimising conversion, efficiency and cost of sales.</w:t>
            </w:r>
          </w:p>
          <w:p w14:paraId="025F96BC" w14:textId="50EB12B9" w:rsidR="008147AA" w:rsidRPr="008147AA" w:rsidRDefault="008147AA" w:rsidP="008147AA">
            <w:pPr>
              <w:pStyle w:val="NoSpacing"/>
              <w:numPr>
                <w:ilvl w:val="0"/>
                <w:numId w:val="28"/>
              </w:numPr>
              <w:rPr>
                <w:rFonts w:ascii="Arial" w:hAnsi="Arial" w:cs="Arial"/>
                <w:sz w:val="20"/>
                <w:szCs w:val="20"/>
              </w:rPr>
            </w:pPr>
            <w:r w:rsidRPr="008147AA">
              <w:rPr>
                <w:rFonts w:ascii="Arial" w:hAnsi="Arial" w:cs="Arial"/>
                <w:sz w:val="20"/>
                <w:szCs w:val="20"/>
              </w:rPr>
              <w:t>Work cross-functionally with Operations, Underwriting, Member Services and Marketing to resolve operational blockers impacting income and retention.</w:t>
            </w:r>
          </w:p>
          <w:p w14:paraId="620530D2" w14:textId="7555D9E8" w:rsidR="008147AA" w:rsidRPr="008147AA" w:rsidRDefault="008147AA" w:rsidP="008147AA">
            <w:pPr>
              <w:pStyle w:val="NoSpacing"/>
              <w:numPr>
                <w:ilvl w:val="0"/>
                <w:numId w:val="28"/>
              </w:numPr>
              <w:rPr>
                <w:rFonts w:ascii="Arial" w:hAnsi="Arial" w:cs="Arial"/>
                <w:sz w:val="20"/>
                <w:szCs w:val="20"/>
              </w:rPr>
            </w:pPr>
            <w:r w:rsidRPr="008147AA">
              <w:rPr>
                <w:rFonts w:ascii="Arial" w:hAnsi="Arial" w:cs="Arial"/>
                <w:sz w:val="20"/>
                <w:szCs w:val="20"/>
              </w:rPr>
              <w:t>Maintain awareness of competitor activity, pricing dynamics and market trends, ensuring timely response to risks and opportunities.</w:t>
            </w:r>
          </w:p>
          <w:p w14:paraId="294778BF" w14:textId="6BADACAD" w:rsidR="008147AA" w:rsidRPr="008147AA" w:rsidRDefault="008147AA" w:rsidP="008147AA">
            <w:pPr>
              <w:pStyle w:val="NoSpacing"/>
              <w:numPr>
                <w:ilvl w:val="0"/>
                <w:numId w:val="28"/>
              </w:numPr>
              <w:rPr>
                <w:rFonts w:ascii="Arial" w:hAnsi="Arial" w:cs="Arial"/>
                <w:sz w:val="20"/>
                <w:szCs w:val="20"/>
              </w:rPr>
            </w:pPr>
            <w:r w:rsidRPr="008147AA">
              <w:rPr>
                <w:rFonts w:ascii="Arial" w:hAnsi="Arial" w:cs="Arial"/>
                <w:sz w:val="20"/>
                <w:szCs w:val="20"/>
              </w:rPr>
              <w:t>Provide clear, data-led performance insight and reporting, with focus on key drivers of income, retention and operational leakage.</w:t>
            </w:r>
          </w:p>
          <w:p w14:paraId="3F095795" w14:textId="61D3A02C" w:rsidR="00626801" w:rsidRPr="008147AA" w:rsidRDefault="008147AA" w:rsidP="008147AA">
            <w:pPr>
              <w:pStyle w:val="NoSpacing"/>
              <w:numPr>
                <w:ilvl w:val="0"/>
                <w:numId w:val="28"/>
              </w:numPr>
              <w:rPr>
                <w:rFonts w:ascii="Arial" w:hAnsi="Arial" w:cs="Arial"/>
                <w:sz w:val="20"/>
                <w:szCs w:val="20"/>
              </w:rPr>
            </w:pPr>
            <w:r w:rsidRPr="008147AA">
              <w:rPr>
                <w:rFonts w:ascii="Arial" w:hAnsi="Arial" w:cs="Arial"/>
                <w:sz w:val="20"/>
                <w:szCs w:val="20"/>
              </w:rPr>
              <w:t>Undertake additional duties aligned to the level and scope of the role as required.</w:t>
            </w:r>
          </w:p>
        </w:tc>
      </w:tr>
    </w:tbl>
    <w:p w14:paraId="7DE1109F" w14:textId="77777777" w:rsidR="009E22D0" w:rsidRPr="008A7829" w:rsidRDefault="009E22D0" w:rsidP="00B75089">
      <w:pPr>
        <w:spacing w:line="240" w:lineRule="auto"/>
        <w:rPr>
          <w:rFonts w:ascii="Arial" w:hAnsi="Arial" w:cs="Arial"/>
          <w:sz w:val="6"/>
          <w:szCs w:val="6"/>
        </w:rPr>
      </w:pPr>
    </w:p>
    <w:tbl>
      <w:tblPr>
        <w:tblStyle w:val="TableGrid"/>
        <w:tblW w:w="10490" w:type="dxa"/>
        <w:tblInd w:w="-743" w:type="dxa"/>
        <w:tblLook w:val="04A0" w:firstRow="1" w:lastRow="0" w:firstColumn="1" w:lastColumn="0" w:noHBand="0" w:noVBand="1"/>
      </w:tblPr>
      <w:tblGrid>
        <w:gridCol w:w="10490"/>
      </w:tblGrid>
      <w:tr w:rsidR="005542D1" w:rsidRPr="00B75089" w14:paraId="5DEE4687" w14:textId="77777777" w:rsidTr="00AA0FE5">
        <w:trPr>
          <w:trHeight w:val="315"/>
        </w:trPr>
        <w:tc>
          <w:tcPr>
            <w:tcW w:w="10490" w:type="dxa"/>
            <w:shd w:val="clear" w:color="auto" w:fill="D9D9D9" w:themeFill="background1" w:themeFillShade="D9"/>
            <w:vAlign w:val="center"/>
          </w:tcPr>
          <w:p w14:paraId="3E47A769" w14:textId="77777777" w:rsidR="005542D1" w:rsidRPr="00B75089" w:rsidRDefault="005542D1"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53FB01BD" w14:textId="77777777" w:rsidTr="00AA0FE5">
        <w:trPr>
          <w:trHeight w:val="277"/>
        </w:trPr>
        <w:tc>
          <w:tcPr>
            <w:tcW w:w="10490" w:type="dxa"/>
          </w:tcPr>
          <w:p w14:paraId="19148BA7" w14:textId="77777777" w:rsidR="00B560AE" w:rsidRDefault="00B560AE" w:rsidP="00B560AE">
            <w:pPr>
              <w:pStyle w:val="ListParagraph"/>
              <w:numPr>
                <w:ilvl w:val="0"/>
                <w:numId w:val="24"/>
              </w:numPr>
              <w:spacing w:before="0" w:beforeAutospacing="0" w:after="0" w:afterAutospacing="0"/>
              <w:ind w:left="357" w:hanging="357"/>
              <w:rPr>
                <w:rFonts w:ascii="Arial" w:hAnsi="Arial" w:cs="Arial"/>
                <w:sz w:val="20"/>
                <w:szCs w:val="20"/>
              </w:rPr>
            </w:pPr>
            <w:r>
              <w:rPr>
                <w:rFonts w:ascii="Arial" w:hAnsi="Arial" w:cs="Arial"/>
                <w:sz w:val="20"/>
                <w:szCs w:val="20"/>
              </w:rPr>
              <w:t xml:space="preserve">Business development monthly sales meeting </w:t>
            </w:r>
          </w:p>
          <w:p w14:paraId="7DCC727F" w14:textId="7BB19C96" w:rsidR="0068668F" w:rsidRDefault="0068668F" w:rsidP="00B560AE">
            <w:pPr>
              <w:pStyle w:val="ListParagraph"/>
              <w:numPr>
                <w:ilvl w:val="0"/>
                <w:numId w:val="24"/>
              </w:numPr>
              <w:spacing w:before="0" w:beforeAutospacing="0" w:after="0" w:afterAutospacing="0"/>
              <w:ind w:left="357" w:hanging="357"/>
              <w:rPr>
                <w:rFonts w:ascii="Arial" w:hAnsi="Arial" w:cs="Arial"/>
                <w:sz w:val="20"/>
                <w:szCs w:val="20"/>
              </w:rPr>
            </w:pPr>
            <w:r w:rsidRPr="0068668F">
              <w:rPr>
                <w:rFonts w:ascii="Arial" w:hAnsi="Arial" w:cs="Arial"/>
                <w:sz w:val="20"/>
                <w:szCs w:val="20"/>
              </w:rPr>
              <w:t>Participation in relevant commercial and performance forums</w:t>
            </w:r>
          </w:p>
          <w:p w14:paraId="443E3AA4" w14:textId="77777777" w:rsidR="00600836" w:rsidRDefault="00600836" w:rsidP="00600836">
            <w:pPr>
              <w:spacing w:after="0"/>
              <w:rPr>
                <w:rFonts w:ascii="Arial" w:hAnsi="Arial" w:cs="Arial"/>
                <w:sz w:val="20"/>
                <w:szCs w:val="20"/>
              </w:rPr>
            </w:pPr>
          </w:p>
          <w:p w14:paraId="225C8F87" w14:textId="77777777" w:rsidR="00600836" w:rsidRPr="00600836" w:rsidRDefault="00600836" w:rsidP="00600836">
            <w:pPr>
              <w:spacing w:after="0"/>
              <w:rPr>
                <w:rFonts w:ascii="Arial" w:hAnsi="Arial" w:cs="Arial"/>
                <w:sz w:val="20"/>
                <w:szCs w:val="20"/>
              </w:rPr>
            </w:pPr>
          </w:p>
        </w:tc>
      </w:tr>
    </w:tbl>
    <w:p w14:paraId="5F7E8560" w14:textId="77777777" w:rsidR="00600836" w:rsidRDefault="00600836" w:rsidP="00B75089">
      <w:pPr>
        <w:spacing w:line="240" w:lineRule="auto"/>
        <w:rPr>
          <w:rFonts w:ascii="Arial" w:hAnsi="Arial" w:cs="Arial"/>
          <w:sz w:val="10"/>
          <w:szCs w:val="10"/>
        </w:rPr>
      </w:pPr>
    </w:p>
    <w:p w14:paraId="13CFAC4A" w14:textId="77777777" w:rsidR="00520A72" w:rsidRPr="008A7829" w:rsidRDefault="00520A72" w:rsidP="00B75089">
      <w:pPr>
        <w:spacing w:line="240" w:lineRule="auto"/>
        <w:rPr>
          <w:rFonts w:ascii="Arial" w:hAnsi="Arial" w:cs="Arial"/>
          <w:sz w:val="10"/>
          <w:szCs w:val="10"/>
        </w:rPr>
      </w:pPr>
    </w:p>
    <w:tbl>
      <w:tblPr>
        <w:tblStyle w:val="TableGrid"/>
        <w:tblW w:w="10542" w:type="dxa"/>
        <w:jc w:val="center"/>
        <w:tblLook w:val="04A0" w:firstRow="1" w:lastRow="0" w:firstColumn="1" w:lastColumn="0" w:noHBand="0" w:noVBand="1"/>
      </w:tblPr>
      <w:tblGrid>
        <w:gridCol w:w="6038"/>
        <w:gridCol w:w="4504"/>
      </w:tblGrid>
      <w:tr w:rsidR="0056188D" w:rsidRPr="00B75089" w14:paraId="0366CAE8" w14:textId="77777777" w:rsidTr="001521C6">
        <w:trPr>
          <w:trHeight w:val="488"/>
          <w:jc w:val="center"/>
        </w:trPr>
        <w:tc>
          <w:tcPr>
            <w:tcW w:w="6038" w:type="dxa"/>
            <w:shd w:val="clear" w:color="auto" w:fill="D9D9D9" w:themeFill="background1" w:themeFillShade="D9"/>
            <w:vAlign w:val="center"/>
          </w:tcPr>
          <w:p w14:paraId="21114264" w14:textId="77777777" w:rsidR="0056188D" w:rsidRPr="00B75089" w:rsidRDefault="00C91CFA"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504" w:type="dxa"/>
            <w:shd w:val="clear" w:color="auto" w:fill="D9D9D9" w:themeFill="background1" w:themeFillShade="D9"/>
            <w:vAlign w:val="center"/>
          </w:tcPr>
          <w:p w14:paraId="2E2CAFF3" w14:textId="77777777" w:rsidR="0056188D" w:rsidRPr="00AA0FE5" w:rsidRDefault="00C91CFA"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5B61CE22" w14:textId="77777777" w:rsidTr="001521C6">
        <w:trPr>
          <w:trHeight w:val="276"/>
          <w:jc w:val="center"/>
        </w:trPr>
        <w:tc>
          <w:tcPr>
            <w:tcW w:w="6038" w:type="dxa"/>
          </w:tcPr>
          <w:p w14:paraId="1982E0A7"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504" w:type="dxa"/>
          </w:tcPr>
          <w:p w14:paraId="4CF12D40" w14:textId="77777777" w:rsidR="0056188D" w:rsidRPr="00AA0FE5" w:rsidRDefault="00B560AE" w:rsidP="00637E20">
            <w:pPr>
              <w:spacing w:after="0" w:line="240" w:lineRule="auto"/>
              <w:rPr>
                <w:rFonts w:ascii="Arial" w:hAnsi="Arial" w:cs="Arial"/>
                <w:sz w:val="20"/>
                <w:szCs w:val="20"/>
              </w:rPr>
            </w:pPr>
            <w:r>
              <w:rPr>
                <w:rFonts w:ascii="Arial" w:hAnsi="Arial" w:cs="Arial"/>
                <w:sz w:val="20"/>
                <w:szCs w:val="20"/>
              </w:rPr>
              <w:t xml:space="preserve">Leading </w:t>
            </w:r>
            <w:r w:rsidR="00637E20">
              <w:rPr>
                <w:rFonts w:ascii="Arial" w:hAnsi="Arial" w:cs="Arial"/>
                <w:sz w:val="20"/>
                <w:szCs w:val="20"/>
              </w:rPr>
              <w:t>O</w:t>
            </w:r>
            <w:r>
              <w:rPr>
                <w:rFonts w:ascii="Arial" w:hAnsi="Arial" w:cs="Arial"/>
                <w:sz w:val="20"/>
                <w:szCs w:val="20"/>
              </w:rPr>
              <w:t xml:space="preserve">thers </w:t>
            </w:r>
          </w:p>
        </w:tc>
      </w:tr>
      <w:tr w:rsidR="004D18E8" w:rsidRPr="00B75089" w14:paraId="5C0610FF" w14:textId="77777777" w:rsidTr="001521C6">
        <w:trPr>
          <w:trHeight w:val="276"/>
          <w:jc w:val="center"/>
        </w:trPr>
        <w:tc>
          <w:tcPr>
            <w:tcW w:w="6038" w:type="dxa"/>
          </w:tcPr>
          <w:p w14:paraId="522DDF0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504" w:type="dxa"/>
          </w:tcPr>
          <w:p w14:paraId="44D28A07" w14:textId="77777777" w:rsidR="004D18E8" w:rsidRPr="00AA0FE5" w:rsidRDefault="00637E20" w:rsidP="00B75089">
            <w:pPr>
              <w:spacing w:after="0" w:line="240" w:lineRule="auto"/>
              <w:rPr>
                <w:rFonts w:ascii="Arial" w:hAnsi="Arial" w:cs="Arial"/>
              </w:rPr>
            </w:pPr>
            <w:r>
              <w:rPr>
                <w:rFonts w:ascii="Arial" w:hAnsi="Arial" w:cs="Arial"/>
                <w:sz w:val="20"/>
                <w:szCs w:val="20"/>
              </w:rPr>
              <w:t>Leading O</w:t>
            </w:r>
            <w:r w:rsidR="00B560AE">
              <w:rPr>
                <w:rFonts w:ascii="Arial" w:hAnsi="Arial" w:cs="Arial"/>
                <w:sz w:val="20"/>
                <w:szCs w:val="20"/>
              </w:rPr>
              <w:t>thers</w:t>
            </w:r>
          </w:p>
        </w:tc>
      </w:tr>
      <w:tr w:rsidR="004D18E8" w:rsidRPr="00B75089" w14:paraId="54E5FCD5" w14:textId="77777777" w:rsidTr="001521C6">
        <w:trPr>
          <w:trHeight w:val="276"/>
          <w:jc w:val="center"/>
        </w:trPr>
        <w:tc>
          <w:tcPr>
            <w:tcW w:w="6038" w:type="dxa"/>
          </w:tcPr>
          <w:p w14:paraId="6FC6FA6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504" w:type="dxa"/>
          </w:tcPr>
          <w:p w14:paraId="3F810D3F" w14:textId="77777777" w:rsidR="004D18E8" w:rsidRPr="00AA0FE5" w:rsidRDefault="008175E3" w:rsidP="00B75089">
            <w:pPr>
              <w:spacing w:after="0" w:line="240" w:lineRule="auto"/>
              <w:rPr>
                <w:rFonts w:ascii="Arial" w:hAnsi="Arial" w:cs="Arial"/>
              </w:rPr>
            </w:pPr>
            <w:r>
              <w:rPr>
                <w:rFonts w:ascii="Arial" w:hAnsi="Arial" w:cs="Arial"/>
                <w:sz w:val="20"/>
                <w:szCs w:val="20"/>
              </w:rPr>
              <w:t>Leading others</w:t>
            </w:r>
          </w:p>
        </w:tc>
      </w:tr>
      <w:tr w:rsidR="004D18E8" w:rsidRPr="00B75089" w14:paraId="4C75CB94" w14:textId="77777777" w:rsidTr="001521C6">
        <w:trPr>
          <w:trHeight w:val="276"/>
          <w:jc w:val="center"/>
        </w:trPr>
        <w:tc>
          <w:tcPr>
            <w:tcW w:w="6038" w:type="dxa"/>
          </w:tcPr>
          <w:p w14:paraId="1621542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504" w:type="dxa"/>
          </w:tcPr>
          <w:p w14:paraId="17A5BDFA" w14:textId="77777777" w:rsidR="004D18E8" w:rsidRPr="00AA0FE5" w:rsidRDefault="00637E20" w:rsidP="00B75089">
            <w:pPr>
              <w:spacing w:after="0" w:line="240" w:lineRule="auto"/>
              <w:rPr>
                <w:rFonts w:ascii="Arial" w:hAnsi="Arial" w:cs="Arial"/>
              </w:rPr>
            </w:pPr>
            <w:r>
              <w:rPr>
                <w:rFonts w:ascii="Arial" w:hAnsi="Arial" w:cs="Arial"/>
                <w:sz w:val="20"/>
                <w:szCs w:val="20"/>
              </w:rPr>
              <w:t xml:space="preserve">Leading </w:t>
            </w:r>
            <w:r w:rsidR="008175E3">
              <w:rPr>
                <w:rFonts w:ascii="Arial" w:hAnsi="Arial" w:cs="Arial"/>
                <w:sz w:val="20"/>
                <w:szCs w:val="20"/>
              </w:rPr>
              <w:t>others</w:t>
            </w:r>
          </w:p>
        </w:tc>
      </w:tr>
      <w:tr w:rsidR="004D18E8" w:rsidRPr="00B75089" w14:paraId="457D7733" w14:textId="77777777" w:rsidTr="001521C6">
        <w:trPr>
          <w:trHeight w:val="276"/>
          <w:jc w:val="center"/>
        </w:trPr>
        <w:tc>
          <w:tcPr>
            <w:tcW w:w="6038" w:type="dxa"/>
          </w:tcPr>
          <w:p w14:paraId="5E0FC99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504" w:type="dxa"/>
          </w:tcPr>
          <w:p w14:paraId="1EB5F4CF" w14:textId="77777777" w:rsidR="004D18E8" w:rsidRPr="00AA0FE5" w:rsidRDefault="00637E20" w:rsidP="00B75089">
            <w:pPr>
              <w:spacing w:after="0" w:line="240" w:lineRule="auto"/>
              <w:rPr>
                <w:rFonts w:ascii="Arial" w:hAnsi="Arial" w:cs="Arial"/>
              </w:rPr>
            </w:pPr>
            <w:r>
              <w:rPr>
                <w:rFonts w:ascii="Arial" w:hAnsi="Arial" w:cs="Arial"/>
                <w:sz w:val="20"/>
                <w:szCs w:val="20"/>
              </w:rPr>
              <w:t xml:space="preserve">Leading </w:t>
            </w:r>
            <w:r w:rsidR="008175E3">
              <w:rPr>
                <w:rFonts w:ascii="Arial" w:hAnsi="Arial" w:cs="Arial"/>
                <w:sz w:val="20"/>
                <w:szCs w:val="20"/>
              </w:rPr>
              <w:t>others</w:t>
            </w:r>
          </w:p>
        </w:tc>
      </w:tr>
      <w:tr w:rsidR="004D18E8" w:rsidRPr="00B75089" w14:paraId="30251AD6" w14:textId="77777777" w:rsidTr="001521C6">
        <w:trPr>
          <w:trHeight w:val="276"/>
          <w:jc w:val="center"/>
        </w:trPr>
        <w:tc>
          <w:tcPr>
            <w:tcW w:w="6038" w:type="dxa"/>
          </w:tcPr>
          <w:p w14:paraId="7952BCB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504" w:type="dxa"/>
          </w:tcPr>
          <w:p w14:paraId="761F76FF" w14:textId="77777777" w:rsidR="004D18E8" w:rsidRPr="00AA0FE5" w:rsidRDefault="00637E20" w:rsidP="00B75089">
            <w:pPr>
              <w:spacing w:after="0" w:line="240" w:lineRule="auto"/>
              <w:rPr>
                <w:rFonts w:ascii="Arial" w:hAnsi="Arial" w:cs="Arial"/>
              </w:rPr>
            </w:pPr>
            <w:r>
              <w:rPr>
                <w:rFonts w:ascii="Arial" w:hAnsi="Arial" w:cs="Arial"/>
                <w:sz w:val="20"/>
                <w:szCs w:val="20"/>
              </w:rPr>
              <w:t xml:space="preserve">Leading </w:t>
            </w:r>
            <w:r w:rsidR="008175E3">
              <w:rPr>
                <w:rFonts w:ascii="Arial" w:hAnsi="Arial" w:cs="Arial"/>
                <w:sz w:val="20"/>
                <w:szCs w:val="20"/>
              </w:rPr>
              <w:t>others</w:t>
            </w:r>
          </w:p>
        </w:tc>
      </w:tr>
    </w:tbl>
    <w:tbl>
      <w:tblPr>
        <w:tblStyle w:val="TableGrid1"/>
        <w:tblpPr w:leftFromText="180" w:rightFromText="180" w:vertAnchor="text" w:horzAnchor="margin" w:tblpXSpec="center" w:tblpY="488"/>
        <w:tblW w:w="10031" w:type="dxa"/>
        <w:tblLook w:val="04A0" w:firstRow="1" w:lastRow="0" w:firstColumn="1" w:lastColumn="0" w:noHBand="0" w:noVBand="1"/>
      </w:tblPr>
      <w:tblGrid>
        <w:gridCol w:w="460"/>
        <w:gridCol w:w="2342"/>
        <w:gridCol w:w="3827"/>
        <w:gridCol w:w="3402"/>
      </w:tblGrid>
      <w:tr w:rsidR="00520A72" w:rsidRPr="00B75089" w14:paraId="12B5E3EF" w14:textId="77777777" w:rsidTr="00520A72">
        <w:trPr>
          <w:trHeight w:val="418"/>
        </w:trPr>
        <w:tc>
          <w:tcPr>
            <w:tcW w:w="460" w:type="dxa"/>
            <w:tcBorders>
              <w:bottom w:val="nil"/>
            </w:tcBorders>
            <w:shd w:val="clear" w:color="auto" w:fill="D9D9D9" w:themeFill="background1" w:themeFillShade="D9"/>
            <w:vAlign w:val="center"/>
          </w:tcPr>
          <w:p w14:paraId="1A834382" w14:textId="77777777" w:rsidR="00520A72" w:rsidRPr="00B75089" w:rsidRDefault="00520A72" w:rsidP="00520A72">
            <w:pPr>
              <w:spacing w:after="0" w:line="240" w:lineRule="auto"/>
              <w:rPr>
                <w:rFonts w:ascii="Arial" w:hAnsi="Arial" w:cs="Arial"/>
                <w:b/>
                <w:sz w:val="20"/>
                <w:szCs w:val="20"/>
              </w:rPr>
            </w:pPr>
          </w:p>
        </w:tc>
        <w:tc>
          <w:tcPr>
            <w:tcW w:w="2342" w:type="dxa"/>
            <w:shd w:val="clear" w:color="auto" w:fill="D9D9D9" w:themeFill="background1" w:themeFillShade="D9"/>
            <w:vAlign w:val="center"/>
          </w:tcPr>
          <w:p w14:paraId="38C19BCF" w14:textId="77777777" w:rsidR="00520A72" w:rsidRPr="00B75089" w:rsidRDefault="00520A72" w:rsidP="00520A72">
            <w:pPr>
              <w:spacing w:after="0" w:line="240" w:lineRule="auto"/>
              <w:rPr>
                <w:rFonts w:ascii="Arial" w:hAnsi="Arial" w:cs="Arial"/>
                <w:b/>
                <w:sz w:val="20"/>
                <w:szCs w:val="20"/>
              </w:rPr>
            </w:pPr>
            <w:r w:rsidRPr="00B75089">
              <w:rPr>
                <w:rFonts w:ascii="Arial" w:hAnsi="Arial" w:cs="Arial"/>
                <w:b/>
                <w:sz w:val="20"/>
                <w:szCs w:val="20"/>
              </w:rPr>
              <w:t>Knowledge and Qualifications</w:t>
            </w:r>
          </w:p>
        </w:tc>
        <w:tc>
          <w:tcPr>
            <w:tcW w:w="3827" w:type="dxa"/>
            <w:shd w:val="clear" w:color="auto" w:fill="D9D9D9" w:themeFill="background1" w:themeFillShade="D9"/>
            <w:vAlign w:val="center"/>
          </w:tcPr>
          <w:p w14:paraId="768315E9" w14:textId="77777777" w:rsidR="00520A72" w:rsidRPr="00B75089" w:rsidRDefault="00520A72" w:rsidP="00520A72">
            <w:pPr>
              <w:spacing w:after="0" w:line="240" w:lineRule="auto"/>
              <w:rPr>
                <w:rFonts w:ascii="Arial" w:hAnsi="Arial" w:cs="Arial"/>
                <w:b/>
                <w:sz w:val="20"/>
                <w:szCs w:val="20"/>
              </w:rPr>
            </w:pPr>
            <w:r w:rsidRPr="00B75089">
              <w:rPr>
                <w:rFonts w:ascii="Arial" w:hAnsi="Arial" w:cs="Arial"/>
                <w:b/>
                <w:sz w:val="20"/>
                <w:szCs w:val="20"/>
              </w:rPr>
              <w:t>Skills</w:t>
            </w:r>
          </w:p>
        </w:tc>
        <w:tc>
          <w:tcPr>
            <w:tcW w:w="3402" w:type="dxa"/>
            <w:shd w:val="clear" w:color="auto" w:fill="D9D9D9" w:themeFill="background1" w:themeFillShade="D9"/>
            <w:vAlign w:val="center"/>
          </w:tcPr>
          <w:p w14:paraId="1DEC70F3" w14:textId="77777777" w:rsidR="00520A72" w:rsidRPr="00B75089" w:rsidRDefault="00520A72" w:rsidP="00520A72">
            <w:pPr>
              <w:spacing w:after="0" w:line="240" w:lineRule="auto"/>
              <w:rPr>
                <w:rFonts w:ascii="Arial" w:hAnsi="Arial" w:cs="Arial"/>
                <w:b/>
                <w:sz w:val="20"/>
                <w:szCs w:val="20"/>
              </w:rPr>
            </w:pPr>
            <w:r w:rsidRPr="00B75089">
              <w:rPr>
                <w:rFonts w:ascii="Arial" w:hAnsi="Arial" w:cs="Arial"/>
                <w:b/>
                <w:sz w:val="20"/>
                <w:szCs w:val="20"/>
              </w:rPr>
              <w:t>Experience</w:t>
            </w:r>
          </w:p>
        </w:tc>
      </w:tr>
      <w:tr w:rsidR="00520A72" w:rsidRPr="00B75089" w14:paraId="0A91D173" w14:textId="77777777" w:rsidTr="00520A72">
        <w:trPr>
          <w:cantSplit/>
          <w:trHeight w:val="3484"/>
        </w:trPr>
        <w:tc>
          <w:tcPr>
            <w:tcW w:w="460" w:type="dxa"/>
            <w:shd w:val="clear" w:color="auto" w:fill="D9D9D9" w:themeFill="background1" w:themeFillShade="D9"/>
            <w:textDirection w:val="btLr"/>
          </w:tcPr>
          <w:p w14:paraId="66F61081" w14:textId="77777777" w:rsidR="00520A72" w:rsidRPr="00B75089" w:rsidRDefault="00520A72" w:rsidP="00520A72">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342" w:type="dxa"/>
          </w:tcPr>
          <w:p w14:paraId="08E4060D" w14:textId="77777777" w:rsidR="00520A72" w:rsidRPr="008D56BB" w:rsidRDefault="00520A72" w:rsidP="00520A72">
            <w:pPr>
              <w:pStyle w:val="ListParagraph"/>
              <w:spacing w:after="0"/>
              <w:ind w:left="360"/>
              <w:rPr>
                <w:rFonts w:ascii="Arial" w:eastAsia="Calibri" w:hAnsi="Arial" w:cs="Arial"/>
                <w:sz w:val="20"/>
                <w:szCs w:val="20"/>
              </w:rPr>
            </w:pPr>
          </w:p>
          <w:p w14:paraId="2EC8C464" w14:textId="052245C5" w:rsidR="00520A72" w:rsidRPr="008D56BB" w:rsidRDefault="00520A72" w:rsidP="00520A72">
            <w:pPr>
              <w:pStyle w:val="ListParagraph"/>
              <w:ind w:left="0"/>
              <w:rPr>
                <w:rFonts w:ascii="Arial" w:eastAsia="Calibri" w:hAnsi="Arial" w:cs="Arial"/>
                <w:sz w:val="20"/>
                <w:szCs w:val="20"/>
              </w:rPr>
            </w:pPr>
            <w:r w:rsidRPr="008D56BB">
              <w:rPr>
                <w:rFonts w:ascii="Arial" w:eastAsia="Calibri" w:hAnsi="Arial" w:cs="Arial"/>
                <w:sz w:val="20"/>
                <w:szCs w:val="20"/>
              </w:rPr>
              <w:t xml:space="preserve">Educated to a degree standard or </w:t>
            </w:r>
            <w:r w:rsidR="00F077B6">
              <w:rPr>
                <w:rFonts w:ascii="Arial" w:eastAsia="Calibri" w:hAnsi="Arial" w:cs="Arial"/>
                <w:sz w:val="20"/>
                <w:szCs w:val="20"/>
              </w:rPr>
              <w:t xml:space="preserve">relevant experience </w:t>
            </w:r>
          </w:p>
          <w:p w14:paraId="6722F57C" w14:textId="77777777" w:rsidR="00520A72" w:rsidRDefault="00520A72" w:rsidP="00520A72">
            <w:pPr>
              <w:pStyle w:val="ListParagraph"/>
              <w:spacing w:after="0"/>
              <w:ind w:left="0"/>
              <w:rPr>
                <w:rFonts w:ascii="Arial" w:eastAsia="Calibri" w:hAnsi="Arial" w:cs="Arial"/>
                <w:sz w:val="20"/>
                <w:szCs w:val="20"/>
              </w:rPr>
            </w:pPr>
            <w:r w:rsidRPr="008D56BB">
              <w:rPr>
                <w:rFonts w:ascii="Arial" w:eastAsia="Calibri" w:hAnsi="Arial" w:cs="Arial"/>
                <w:sz w:val="20"/>
                <w:szCs w:val="20"/>
              </w:rPr>
              <w:tab/>
              <w:t xml:space="preserve"> </w:t>
            </w:r>
          </w:p>
          <w:p w14:paraId="433088FD" w14:textId="77777777" w:rsidR="00520A72" w:rsidRDefault="00520A72" w:rsidP="00520A72">
            <w:pPr>
              <w:pStyle w:val="ListParagraph"/>
              <w:spacing w:after="0"/>
              <w:ind w:left="0"/>
              <w:rPr>
                <w:rFonts w:ascii="Arial" w:eastAsia="Calibri" w:hAnsi="Arial" w:cs="Arial"/>
                <w:sz w:val="20"/>
                <w:szCs w:val="20"/>
              </w:rPr>
            </w:pPr>
          </w:p>
          <w:p w14:paraId="38041DD0" w14:textId="77777777" w:rsidR="00520A72" w:rsidRPr="00534CF3" w:rsidRDefault="00520A72" w:rsidP="00520A72">
            <w:pPr>
              <w:pStyle w:val="ListParagraph"/>
              <w:spacing w:after="0"/>
              <w:ind w:left="0"/>
              <w:rPr>
                <w:rFonts w:ascii="Arial" w:eastAsia="Calibri" w:hAnsi="Arial" w:cs="Arial"/>
                <w:sz w:val="20"/>
                <w:szCs w:val="20"/>
              </w:rPr>
            </w:pPr>
          </w:p>
        </w:tc>
        <w:tc>
          <w:tcPr>
            <w:tcW w:w="3827" w:type="dxa"/>
          </w:tcPr>
          <w:p w14:paraId="11E6918C" w14:textId="567DC226" w:rsidR="00C91CA8" w:rsidRPr="00C91CA8" w:rsidRDefault="00C91CA8" w:rsidP="00C91CA8">
            <w:pPr>
              <w:pStyle w:val="ListParagraph"/>
              <w:numPr>
                <w:ilvl w:val="0"/>
                <w:numId w:val="25"/>
              </w:numPr>
              <w:spacing w:after="0"/>
              <w:rPr>
                <w:rFonts w:ascii="Arial" w:eastAsia="Calibri" w:hAnsi="Arial" w:cs="Arial"/>
                <w:sz w:val="20"/>
                <w:szCs w:val="20"/>
              </w:rPr>
            </w:pPr>
            <w:r w:rsidRPr="00C91CA8">
              <w:rPr>
                <w:rFonts w:ascii="Arial" w:eastAsia="Calibri" w:hAnsi="Arial" w:cs="Arial"/>
                <w:sz w:val="20"/>
                <w:szCs w:val="20"/>
              </w:rPr>
              <w:t>Strong stakeholder management and influencing capability across internal and external environments</w:t>
            </w:r>
          </w:p>
          <w:p w14:paraId="556A5231" w14:textId="324747EC" w:rsidR="00C91CA8" w:rsidRPr="00C91CA8" w:rsidRDefault="00C91CA8" w:rsidP="00C91CA8">
            <w:pPr>
              <w:pStyle w:val="ListParagraph"/>
              <w:numPr>
                <w:ilvl w:val="0"/>
                <w:numId w:val="25"/>
              </w:numPr>
              <w:spacing w:after="0"/>
              <w:rPr>
                <w:rFonts w:ascii="Arial" w:eastAsia="Calibri" w:hAnsi="Arial" w:cs="Arial"/>
                <w:sz w:val="20"/>
                <w:szCs w:val="20"/>
              </w:rPr>
            </w:pPr>
            <w:r w:rsidRPr="00C91CA8">
              <w:rPr>
                <w:rFonts w:ascii="Arial" w:eastAsia="Calibri" w:hAnsi="Arial" w:cs="Arial"/>
                <w:sz w:val="20"/>
                <w:szCs w:val="20"/>
              </w:rPr>
              <w:t>Ability to interpret commercial data and translate insight into actionable outcomes</w:t>
            </w:r>
          </w:p>
          <w:p w14:paraId="6AE013B1" w14:textId="350D6044" w:rsidR="00C91CA8" w:rsidRPr="00C91CA8" w:rsidRDefault="00C91CA8" w:rsidP="00C91CA8">
            <w:pPr>
              <w:pStyle w:val="ListParagraph"/>
              <w:numPr>
                <w:ilvl w:val="0"/>
                <w:numId w:val="25"/>
              </w:numPr>
              <w:spacing w:after="0"/>
              <w:rPr>
                <w:rFonts w:ascii="Arial" w:eastAsia="Calibri" w:hAnsi="Arial" w:cs="Arial"/>
                <w:sz w:val="20"/>
                <w:szCs w:val="20"/>
              </w:rPr>
            </w:pPr>
            <w:r w:rsidRPr="00C91CA8">
              <w:rPr>
                <w:rFonts w:ascii="Arial" w:eastAsia="Calibri" w:hAnsi="Arial" w:cs="Arial"/>
                <w:sz w:val="20"/>
                <w:szCs w:val="20"/>
              </w:rPr>
              <w:t>Strong execution capability with ability to manage multiple priorities in a dynamic environment</w:t>
            </w:r>
          </w:p>
          <w:p w14:paraId="31604ABD" w14:textId="050C2BCB" w:rsidR="00C91CA8" w:rsidRPr="00C91CA8" w:rsidRDefault="00C91CA8" w:rsidP="00C91CA8">
            <w:pPr>
              <w:pStyle w:val="ListParagraph"/>
              <w:numPr>
                <w:ilvl w:val="0"/>
                <w:numId w:val="25"/>
              </w:numPr>
              <w:spacing w:after="0"/>
              <w:rPr>
                <w:rFonts w:ascii="Arial" w:eastAsia="Calibri" w:hAnsi="Arial" w:cs="Arial"/>
                <w:sz w:val="20"/>
                <w:szCs w:val="20"/>
              </w:rPr>
            </w:pPr>
            <w:r w:rsidRPr="00C91CA8">
              <w:rPr>
                <w:rFonts w:ascii="Arial" w:eastAsia="Calibri" w:hAnsi="Arial" w:cs="Arial"/>
                <w:sz w:val="20"/>
                <w:szCs w:val="20"/>
              </w:rPr>
              <w:t>High level of commercial acumen with focus on income, retention and cost management</w:t>
            </w:r>
          </w:p>
          <w:p w14:paraId="2B8CD929" w14:textId="67A0A2A3" w:rsidR="00520A72" w:rsidRPr="00B75089" w:rsidRDefault="00C91CA8" w:rsidP="00C91CA8">
            <w:pPr>
              <w:pStyle w:val="ListParagraph"/>
              <w:numPr>
                <w:ilvl w:val="0"/>
                <w:numId w:val="25"/>
              </w:numPr>
              <w:spacing w:after="0"/>
              <w:rPr>
                <w:rFonts w:ascii="Arial" w:eastAsia="Calibri" w:hAnsi="Arial" w:cs="Arial"/>
                <w:b/>
                <w:sz w:val="20"/>
                <w:szCs w:val="20"/>
              </w:rPr>
            </w:pPr>
            <w:r w:rsidRPr="00C91CA8">
              <w:rPr>
                <w:rFonts w:ascii="Arial" w:eastAsia="Calibri" w:hAnsi="Arial" w:cs="Arial"/>
                <w:sz w:val="20"/>
                <w:szCs w:val="20"/>
              </w:rPr>
              <w:t>Strong interpersonal and communication skills with ability to build effective working relationships</w:t>
            </w:r>
          </w:p>
        </w:tc>
        <w:tc>
          <w:tcPr>
            <w:tcW w:w="3402" w:type="dxa"/>
          </w:tcPr>
          <w:p w14:paraId="22B76EC9" w14:textId="627FD8E0" w:rsidR="007F221B" w:rsidRPr="007F221B" w:rsidRDefault="007F221B" w:rsidP="007F221B">
            <w:pPr>
              <w:pStyle w:val="ListParagraph"/>
              <w:numPr>
                <w:ilvl w:val="0"/>
                <w:numId w:val="25"/>
              </w:numPr>
              <w:rPr>
                <w:rFonts w:ascii="Arial" w:eastAsia="Calibri" w:hAnsi="Arial" w:cs="Arial"/>
                <w:sz w:val="20"/>
                <w:szCs w:val="20"/>
              </w:rPr>
            </w:pPr>
            <w:r w:rsidRPr="007F221B">
              <w:rPr>
                <w:rFonts w:ascii="Arial" w:eastAsia="Calibri" w:hAnsi="Arial" w:cs="Arial"/>
                <w:sz w:val="20"/>
                <w:szCs w:val="20"/>
              </w:rPr>
              <w:t>Proven commercial experience within financial services, insurance or healthcare environments</w:t>
            </w:r>
          </w:p>
          <w:p w14:paraId="7221D5E8" w14:textId="42756694" w:rsidR="007F221B" w:rsidRPr="007F221B" w:rsidRDefault="007F221B" w:rsidP="007F221B">
            <w:pPr>
              <w:pStyle w:val="ListParagraph"/>
              <w:numPr>
                <w:ilvl w:val="0"/>
                <w:numId w:val="25"/>
              </w:numPr>
              <w:rPr>
                <w:rFonts w:ascii="Arial" w:eastAsia="Calibri" w:hAnsi="Arial" w:cs="Arial"/>
                <w:sz w:val="20"/>
                <w:szCs w:val="20"/>
              </w:rPr>
            </w:pPr>
            <w:r w:rsidRPr="007F221B">
              <w:rPr>
                <w:rFonts w:ascii="Arial" w:eastAsia="Calibri" w:hAnsi="Arial" w:cs="Arial"/>
                <w:sz w:val="20"/>
                <w:szCs w:val="20"/>
              </w:rPr>
              <w:t>Experience managing sales or business development teams with accountability for performance</w:t>
            </w:r>
          </w:p>
          <w:p w14:paraId="17180AA9" w14:textId="206255F6" w:rsidR="007F221B" w:rsidRPr="007F221B" w:rsidRDefault="007F221B" w:rsidP="007F221B">
            <w:pPr>
              <w:pStyle w:val="ListParagraph"/>
              <w:numPr>
                <w:ilvl w:val="0"/>
                <w:numId w:val="25"/>
              </w:numPr>
              <w:rPr>
                <w:rFonts w:ascii="Arial" w:eastAsia="Calibri" w:hAnsi="Arial" w:cs="Arial"/>
                <w:sz w:val="20"/>
                <w:szCs w:val="20"/>
              </w:rPr>
            </w:pPr>
            <w:r w:rsidRPr="007F221B">
              <w:rPr>
                <w:rFonts w:ascii="Arial" w:eastAsia="Calibri" w:hAnsi="Arial" w:cs="Arial"/>
                <w:sz w:val="20"/>
                <w:szCs w:val="20"/>
              </w:rPr>
              <w:t>Track record of delivering income growth, retention and commercial targets</w:t>
            </w:r>
          </w:p>
          <w:p w14:paraId="65AF20FF" w14:textId="4D8083B8" w:rsidR="00520A72" w:rsidRPr="002E11AF" w:rsidRDefault="007F221B" w:rsidP="007F221B">
            <w:pPr>
              <w:pStyle w:val="ListParagraph"/>
              <w:numPr>
                <w:ilvl w:val="0"/>
                <w:numId w:val="25"/>
              </w:numPr>
              <w:spacing w:after="0"/>
              <w:rPr>
                <w:rFonts w:ascii="Arial" w:eastAsia="Calibri" w:hAnsi="Arial" w:cs="Arial"/>
                <w:sz w:val="20"/>
                <w:szCs w:val="20"/>
              </w:rPr>
            </w:pPr>
            <w:r w:rsidRPr="007F221B">
              <w:rPr>
                <w:rFonts w:ascii="Arial" w:eastAsia="Calibri" w:hAnsi="Arial" w:cs="Arial"/>
                <w:sz w:val="20"/>
                <w:szCs w:val="20"/>
              </w:rPr>
              <w:t>Experience operating in a multi-stakeholder, cross-functional environment</w:t>
            </w:r>
          </w:p>
        </w:tc>
      </w:tr>
      <w:tr w:rsidR="00520A72" w:rsidRPr="00B75089" w14:paraId="1CE11017" w14:textId="77777777" w:rsidTr="00520A72">
        <w:trPr>
          <w:cantSplit/>
          <w:trHeight w:val="1691"/>
        </w:trPr>
        <w:tc>
          <w:tcPr>
            <w:tcW w:w="460" w:type="dxa"/>
            <w:shd w:val="clear" w:color="auto" w:fill="D9D9D9" w:themeFill="background1" w:themeFillShade="D9"/>
            <w:textDirection w:val="btLr"/>
          </w:tcPr>
          <w:p w14:paraId="171CD117" w14:textId="77777777" w:rsidR="00520A72" w:rsidRPr="00B75089" w:rsidRDefault="00520A72" w:rsidP="00520A72">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342" w:type="dxa"/>
          </w:tcPr>
          <w:p w14:paraId="478E2E8E" w14:textId="40F71EF8" w:rsidR="00520A72" w:rsidRPr="00AF3412" w:rsidRDefault="00520A72" w:rsidP="00AF3412">
            <w:pPr>
              <w:rPr>
                <w:rFonts w:ascii="Arial" w:hAnsi="Arial" w:cs="Arial"/>
                <w:sz w:val="20"/>
                <w:szCs w:val="20"/>
              </w:rPr>
            </w:pPr>
            <w:r w:rsidRPr="00AF3412">
              <w:rPr>
                <w:rFonts w:ascii="Arial" w:hAnsi="Arial" w:cs="Arial"/>
                <w:sz w:val="20"/>
                <w:szCs w:val="20"/>
              </w:rPr>
              <w:t xml:space="preserve">Knowledge of </w:t>
            </w:r>
            <w:r w:rsidR="004A7FEC" w:rsidRPr="00AF3412">
              <w:rPr>
                <w:rFonts w:ascii="Arial" w:hAnsi="Arial" w:cs="Arial"/>
                <w:sz w:val="20"/>
                <w:szCs w:val="20"/>
              </w:rPr>
              <w:t>South African</w:t>
            </w:r>
            <w:r w:rsidRPr="00AF3412">
              <w:rPr>
                <w:rFonts w:ascii="Arial" w:hAnsi="Arial" w:cs="Arial"/>
                <w:sz w:val="20"/>
                <w:szCs w:val="20"/>
              </w:rPr>
              <w:t xml:space="preserve"> </w:t>
            </w:r>
            <w:r w:rsidR="008F0259" w:rsidRPr="00AF3412">
              <w:rPr>
                <w:rFonts w:ascii="Arial" w:hAnsi="Arial" w:cs="Arial"/>
                <w:sz w:val="20"/>
                <w:szCs w:val="20"/>
              </w:rPr>
              <w:t xml:space="preserve">healthcare </w:t>
            </w:r>
            <w:r w:rsidRPr="00AF3412">
              <w:rPr>
                <w:rFonts w:ascii="Arial" w:hAnsi="Arial" w:cs="Arial"/>
                <w:sz w:val="20"/>
                <w:szCs w:val="20"/>
              </w:rPr>
              <w:t xml:space="preserve">markets </w:t>
            </w:r>
          </w:p>
        </w:tc>
        <w:tc>
          <w:tcPr>
            <w:tcW w:w="3827" w:type="dxa"/>
          </w:tcPr>
          <w:p w14:paraId="349CD734" w14:textId="77777777" w:rsidR="00520A72" w:rsidRPr="000156AE" w:rsidRDefault="00520A72" w:rsidP="00520A72">
            <w:pPr>
              <w:pStyle w:val="ListParagraph"/>
              <w:spacing w:after="0"/>
              <w:ind w:left="360"/>
              <w:rPr>
                <w:rFonts w:ascii="Arial" w:hAnsi="Arial" w:cs="Arial"/>
                <w:b/>
                <w:sz w:val="20"/>
                <w:szCs w:val="20"/>
              </w:rPr>
            </w:pPr>
          </w:p>
        </w:tc>
        <w:tc>
          <w:tcPr>
            <w:tcW w:w="3402" w:type="dxa"/>
          </w:tcPr>
          <w:p w14:paraId="4680D90E" w14:textId="770FF27C" w:rsidR="00E51449" w:rsidRPr="00E51449" w:rsidRDefault="00E51449" w:rsidP="00E51449">
            <w:pPr>
              <w:pStyle w:val="ListParagraph"/>
              <w:numPr>
                <w:ilvl w:val="0"/>
                <w:numId w:val="25"/>
              </w:numPr>
              <w:rPr>
                <w:rFonts w:ascii="Arial" w:eastAsia="Calibri" w:hAnsi="Arial" w:cs="Arial"/>
                <w:sz w:val="20"/>
                <w:szCs w:val="20"/>
              </w:rPr>
            </w:pPr>
            <w:r w:rsidRPr="00E51449">
              <w:rPr>
                <w:rFonts w:ascii="Arial" w:eastAsia="Calibri" w:hAnsi="Arial" w:cs="Arial"/>
                <w:sz w:val="20"/>
                <w:szCs w:val="20"/>
              </w:rPr>
              <w:t>Experience within South African medical indemnity or healthcare markets</w:t>
            </w:r>
          </w:p>
          <w:p w14:paraId="5813C0A8" w14:textId="72A14A00" w:rsidR="00E51449" w:rsidRPr="00E51449" w:rsidRDefault="00E51449" w:rsidP="00E51449">
            <w:pPr>
              <w:pStyle w:val="ListParagraph"/>
              <w:numPr>
                <w:ilvl w:val="0"/>
                <w:numId w:val="25"/>
              </w:numPr>
              <w:rPr>
                <w:rFonts w:ascii="Arial" w:eastAsia="Calibri" w:hAnsi="Arial" w:cs="Arial"/>
                <w:sz w:val="20"/>
                <w:szCs w:val="20"/>
              </w:rPr>
            </w:pPr>
            <w:r w:rsidRPr="00E51449">
              <w:rPr>
                <w:rFonts w:ascii="Arial" w:eastAsia="Calibri" w:hAnsi="Arial" w:cs="Arial"/>
                <w:sz w:val="20"/>
                <w:szCs w:val="20"/>
              </w:rPr>
              <w:t xml:space="preserve">Understanding of scheme / </w:t>
            </w:r>
            <w:r>
              <w:rPr>
                <w:rFonts w:ascii="Arial" w:eastAsia="Calibri" w:hAnsi="Arial" w:cs="Arial"/>
                <w:sz w:val="20"/>
                <w:szCs w:val="20"/>
              </w:rPr>
              <w:t xml:space="preserve">affinity / </w:t>
            </w:r>
            <w:r w:rsidRPr="00E51449">
              <w:rPr>
                <w:rFonts w:ascii="Arial" w:eastAsia="Calibri" w:hAnsi="Arial" w:cs="Arial"/>
                <w:sz w:val="20"/>
                <w:szCs w:val="20"/>
              </w:rPr>
              <w:t>association-based distribution models</w:t>
            </w:r>
          </w:p>
          <w:p w14:paraId="08D2CD51" w14:textId="23C87C9B" w:rsidR="00E51449" w:rsidRPr="00E51449" w:rsidRDefault="00E51449" w:rsidP="00E51449">
            <w:pPr>
              <w:pStyle w:val="ListParagraph"/>
              <w:numPr>
                <w:ilvl w:val="0"/>
                <w:numId w:val="25"/>
              </w:numPr>
              <w:rPr>
                <w:rFonts w:ascii="Arial" w:eastAsia="Calibri" w:hAnsi="Arial" w:cs="Arial"/>
                <w:sz w:val="20"/>
                <w:szCs w:val="20"/>
              </w:rPr>
            </w:pPr>
            <w:r w:rsidRPr="00E51449">
              <w:rPr>
                <w:rFonts w:ascii="Arial" w:eastAsia="Calibri" w:hAnsi="Arial" w:cs="Arial"/>
                <w:sz w:val="20"/>
                <w:szCs w:val="20"/>
              </w:rPr>
              <w:t>Experience in group or institutional deal execution</w:t>
            </w:r>
          </w:p>
          <w:p w14:paraId="5D338779" w14:textId="711B4EFC" w:rsidR="00520A72" w:rsidRPr="00EB322B" w:rsidRDefault="00E51449" w:rsidP="00E51449">
            <w:pPr>
              <w:pStyle w:val="ListParagraph"/>
              <w:numPr>
                <w:ilvl w:val="0"/>
                <w:numId w:val="25"/>
              </w:numPr>
              <w:spacing w:after="0"/>
              <w:rPr>
                <w:rFonts w:ascii="Arial" w:eastAsia="Calibri" w:hAnsi="Arial" w:cs="Arial"/>
                <w:sz w:val="20"/>
                <w:szCs w:val="20"/>
              </w:rPr>
            </w:pPr>
            <w:r w:rsidRPr="00E51449">
              <w:rPr>
                <w:rFonts w:ascii="Arial" w:eastAsia="Calibri" w:hAnsi="Arial" w:cs="Arial"/>
                <w:sz w:val="20"/>
                <w:szCs w:val="20"/>
              </w:rPr>
              <w:t>Experience operating within a regulated financial services environment</w:t>
            </w:r>
          </w:p>
        </w:tc>
      </w:tr>
    </w:tbl>
    <w:p w14:paraId="013301C0" w14:textId="77777777" w:rsidR="00600836" w:rsidRDefault="00600836"/>
    <w:p w14:paraId="1CD6C97E" w14:textId="77777777" w:rsidR="0056188D" w:rsidRPr="00B75089" w:rsidRDefault="0056188D" w:rsidP="00B75089">
      <w:pPr>
        <w:spacing w:line="240" w:lineRule="auto"/>
        <w:rPr>
          <w:rFonts w:ascii="Arial" w:hAnsi="Arial" w:cs="Arial"/>
        </w:rPr>
      </w:pPr>
    </w:p>
    <w:sectPr w:rsidR="0056188D" w:rsidRPr="00B75089" w:rsidSect="00520A72">
      <w:headerReference w:type="default" r:id="rId9"/>
      <w:footerReference w:type="default" r:id="rId10"/>
      <w:pgSz w:w="11909" w:h="16834" w:code="9"/>
      <w:pgMar w:top="1440" w:right="1080" w:bottom="1440" w:left="108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49E4" w14:textId="77777777" w:rsidR="0040687C" w:rsidRDefault="0040687C" w:rsidP="009E22D0">
      <w:pPr>
        <w:spacing w:after="0" w:line="240" w:lineRule="auto"/>
      </w:pPr>
      <w:r>
        <w:separator/>
      </w:r>
    </w:p>
  </w:endnote>
  <w:endnote w:type="continuationSeparator" w:id="0">
    <w:p w14:paraId="1B43FFF6" w14:textId="77777777" w:rsidR="0040687C" w:rsidRDefault="0040687C"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648158"/>
      <w:docPartObj>
        <w:docPartGallery w:val="Page Numbers (Bottom of Page)"/>
        <w:docPartUnique/>
      </w:docPartObj>
    </w:sdtPr>
    <w:sdtEndPr>
      <w:rPr>
        <w:noProof/>
        <w:sz w:val="16"/>
        <w:szCs w:val="16"/>
      </w:rPr>
    </w:sdtEndPr>
    <w:sdtContent>
      <w:p w14:paraId="79126B78" w14:textId="77777777" w:rsidR="00787C2D" w:rsidRPr="00787C2D" w:rsidRDefault="00787C2D" w:rsidP="00787C2D">
        <w:pPr>
          <w:pStyle w:val="Footer"/>
          <w:jc w:val="right"/>
          <w:rPr>
            <w:sz w:val="16"/>
            <w:szCs w:val="16"/>
          </w:rPr>
        </w:pPr>
        <w:r w:rsidRPr="00787C2D">
          <w:rPr>
            <w:sz w:val="16"/>
            <w:szCs w:val="16"/>
          </w:rPr>
          <w:fldChar w:fldCharType="begin"/>
        </w:r>
        <w:r w:rsidRPr="00787C2D">
          <w:rPr>
            <w:sz w:val="16"/>
            <w:szCs w:val="16"/>
          </w:rPr>
          <w:instrText xml:space="preserve"> PAGE   \* MERGEFORMAT </w:instrText>
        </w:r>
        <w:r w:rsidRPr="00787C2D">
          <w:rPr>
            <w:sz w:val="16"/>
            <w:szCs w:val="16"/>
          </w:rPr>
          <w:fldChar w:fldCharType="separate"/>
        </w:r>
        <w:r w:rsidR="0074479F">
          <w:rPr>
            <w:noProof/>
            <w:sz w:val="16"/>
            <w:szCs w:val="16"/>
          </w:rPr>
          <w:t>1</w:t>
        </w:r>
        <w:r w:rsidRPr="00787C2D">
          <w:rPr>
            <w:noProof/>
            <w:sz w:val="16"/>
            <w:szCs w:val="16"/>
          </w:rPr>
          <w:fldChar w:fldCharType="end"/>
        </w:r>
      </w:p>
    </w:sdtContent>
  </w:sdt>
  <w:p w14:paraId="52B1C1D8" w14:textId="77777777" w:rsidR="00787C2D" w:rsidRDefault="0078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0774" w14:textId="77777777" w:rsidR="0040687C" w:rsidRDefault="0040687C" w:rsidP="009E22D0">
      <w:pPr>
        <w:spacing w:after="0" w:line="240" w:lineRule="auto"/>
      </w:pPr>
      <w:r>
        <w:separator/>
      </w:r>
    </w:p>
  </w:footnote>
  <w:footnote w:type="continuationSeparator" w:id="0">
    <w:p w14:paraId="670CF94E" w14:textId="77777777" w:rsidR="0040687C" w:rsidRDefault="0040687C"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E61B" w14:textId="77777777" w:rsidR="00C91CFA" w:rsidRPr="000E4361" w:rsidRDefault="000E4361" w:rsidP="00787C2D">
    <w:pPr>
      <w:pStyle w:val="Header"/>
      <w:ind w:left="-851"/>
    </w:pPr>
    <w:r w:rsidRPr="000E4361">
      <w:rPr>
        <w:b/>
        <w:sz w:val="44"/>
        <w:szCs w:val="48"/>
      </w:rPr>
      <w:t>ROLE PROFILE</w:t>
    </w:r>
    <w:r>
      <w:tab/>
    </w:r>
    <w:r>
      <w:tab/>
    </w:r>
    <w:r>
      <w:rPr>
        <w:noProof/>
      </w:rPr>
      <w:drawing>
        <wp:inline distT="0" distB="0" distL="0" distR="0" wp14:anchorId="5F0261D8" wp14:editId="79707DC6">
          <wp:extent cx="1359243" cy="343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867" cy="347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E92"/>
    <w:multiLevelType w:val="hybridMultilevel"/>
    <w:tmpl w:val="0CC09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C42CF"/>
    <w:multiLevelType w:val="hybridMultilevel"/>
    <w:tmpl w:val="717AB6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4452C7"/>
    <w:multiLevelType w:val="hybridMultilevel"/>
    <w:tmpl w:val="318C2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373D82"/>
    <w:multiLevelType w:val="hybridMultilevel"/>
    <w:tmpl w:val="B12C6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763A5D"/>
    <w:multiLevelType w:val="hybridMultilevel"/>
    <w:tmpl w:val="A22CEB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C56A4B"/>
    <w:multiLevelType w:val="hybridMultilevel"/>
    <w:tmpl w:val="0212A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9E499F"/>
    <w:multiLevelType w:val="hybridMultilevel"/>
    <w:tmpl w:val="1026E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200021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32FC0"/>
    <w:multiLevelType w:val="hybridMultilevel"/>
    <w:tmpl w:val="38E0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C13E9"/>
    <w:multiLevelType w:val="hybridMultilevel"/>
    <w:tmpl w:val="061A6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3B5B60"/>
    <w:multiLevelType w:val="hybridMultilevel"/>
    <w:tmpl w:val="5F547B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5079B"/>
    <w:multiLevelType w:val="hybridMultilevel"/>
    <w:tmpl w:val="10803D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03F2E"/>
    <w:multiLevelType w:val="hybridMultilevel"/>
    <w:tmpl w:val="3714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80FB3"/>
    <w:multiLevelType w:val="hybridMultilevel"/>
    <w:tmpl w:val="038C71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B2391D"/>
    <w:multiLevelType w:val="hybridMultilevel"/>
    <w:tmpl w:val="A2B8D8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28312D"/>
    <w:multiLevelType w:val="hybridMultilevel"/>
    <w:tmpl w:val="97B0B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637937">
    <w:abstractNumId w:val="15"/>
  </w:num>
  <w:num w:numId="2" w16cid:durableId="577254447">
    <w:abstractNumId w:val="1"/>
  </w:num>
  <w:num w:numId="3" w16cid:durableId="1917324483">
    <w:abstractNumId w:val="12"/>
  </w:num>
  <w:num w:numId="4" w16cid:durableId="711997312">
    <w:abstractNumId w:val="9"/>
  </w:num>
  <w:num w:numId="5" w16cid:durableId="883255516">
    <w:abstractNumId w:val="14"/>
  </w:num>
  <w:num w:numId="6" w16cid:durableId="569773414">
    <w:abstractNumId w:val="4"/>
  </w:num>
  <w:num w:numId="7" w16cid:durableId="1771463693">
    <w:abstractNumId w:val="20"/>
  </w:num>
  <w:num w:numId="8" w16cid:durableId="1257052157">
    <w:abstractNumId w:val="29"/>
  </w:num>
  <w:num w:numId="9" w16cid:durableId="1964192113">
    <w:abstractNumId w:val="30"/>
  </w:num>
  <w:num w:numId="10" w16cid:durableId="1590196446">
    <w:abstractNumId w:val="24"/>
  </w:num>
  <w:num w:numId="11" w16cid:durableId="1788617149">
    <w:abstractNumId w:val="6"/>
  </w:num>
  <w:num w:numId="12" w16cid:durableId="1442266538">
    <w:abstractNumId w:val="26"/>
  </w:num>
  <w:num w:numId="13" w16cid:durableId="563295498">
    <w:abstractNumId w:val="22"/>
  </w:num>
  <w:num w:numId="14" w16cid:durableId="560560408">
    <w:abstractNumId w:val="23"/>
  </w:num>
  <w:num w:numId="15" w16cid:durableId="32384549">
    <w:abstractNumId w:val="19"/>
  </w:num>
  <w:num w:numId="16" w16cid:durableId="559168818">
    <w:abstractNumId w:val="13"/>
  </w:num>
  <w:num w:numId="17" w16cid:durableId="1592468765">
    <w:abstractNumId w:val="27"/>
  </w:num>
  <w:num w:numId="18" w16cid:durableId="63382508">
    <w:abstractNumId w:val="2"/>
  </w:num>
  <w:num w:numId="19" w16cid:durableId="87312239">
    <w:abstractNumId w:val="7"/>
  </w:num>
  <w:num w:numId="20" w16cid:durableId="1979720157">
    <w:abstractNumId w:val="17"/>
  </w:num>
  <w:num w:numId="21" w16cid:durableId="43217754">
    <w:abstractNumId w:val="21"/>
  </w:num>
  <w:num w:numId="22" w16cid:durableId="1587107842">
    <w:abstractNumId w:val="31"/>
  </w:num>
  <w:num w:numId="23" w16cid:durableId="1215772813">
    <w:abstractNumId w:val="28"/>
  </w:num>
  <w:num w:numId="24" w16cid:durableId="279840039">
    <w:abstractNumId w:val="18"/>
  </w:num>
  <w:num w:numId="25" w16cid:durableId="2086367343">
    <w:abstractNumId w:val="3"/>
  </w:num>
  <w:num w:numId="26" w16cid:durableId="158153679">
    <w:abstractNumId w:val="16"/>
  </w:num>
  <w:num w:numId="27" w16cid:durableId="1125657132">
    <w:abstractNumId w:val="11"/>
  </w:num>
  <w:num w:numId="28" w16cid:durableId="1149591037">
    <w:abstractNumId w:val="0"/>
  </w:num>
  <w:num w:numId="29" w16cid:durableId="1682313664">
    <w:abstractNumId w:val="5"/>
  </w:num>
  <w:num w:numId="30" w16cid:durableId="907150693">
    <w:abstractNumId w:val="25"/>
  </w:num>
  <w:num w:numId="31" w16cid:durableId="783574890">
    <w:abstractNumId w:val="8"/>
  </w:num>
  <w:num w:numId="32" w16cid:durableId="1381638069">
    <w:abstractNumId w:val="10"/>
  </w:num>
  <w:num w:numId="33" w16cid:durableId="19445355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2F12"/>
    <w:rsid w:val="000055FC"/>
    <w:rsid w:val="00006F50"/>
    <w:rsid w:val="000156AE"/>
    <w:rsid w:val="000210EA"/>
    <w:rsid w:val="00025568"/>
    <w:rsid w:val="0003576E"/>
    <w:rsid w:val="00052D4B"/>
    <w:rsid w:val="000565E7"/>
    <w:rsid w:val="00082F60"/>
    <w:rsid w:val="000A3A9A"/>
    <w:rsid w:val="000E4361"/>
    <w:rsid w:val="000F27EC"/>
    <w:rsid w:val="00135CF3"/>
    <w:rsid w:val="001418AF"/>
    <w:rsid w:val="001518DE"/>
    <w:rsid w:val="001521C6"/>
    <w:rsid w:val="001649C1"/>
    <w:rsid w:val="00175D07"/>
    <w:rsid w:val="0018283E"/>
    <w:rsid w:val="001D1905"/>
    <w:rsid w:val="001F16DF"/>
    <w:rsid w:val="001F6F9B"/>
    <w:rsid w:val="00201C8F"/>
    <w:rsid w:val="002412D8"/>
    <w:rsid w:val="00251A60"/>
    <w:rsid w:val="002640B5"/>
    <w:rsid w:val="002B0CB6"/>
    <w:rsid w:val="002B54C2"/>
    <w:rsid w:val="002B557F"/>
    <w:rsid w:val="002C1415"/>
    <w:rsid w:val="002C340D"/>
    <w:rsid w:val="002D1101"/>
    <w:rsid w:val="002D7ABB"/>
    <w:rsid w:val="002E11AF"/>
    <w:rsid w:val="00306334"/>
    <w:rsid w:val="00380F69"/>
    <w:rsid w:val="00382ACA"/>
    <w:rsid w:val="003A5A7A"/>
    <w:rsid w:val="003C3D37"/>
    <w:rsid w:val="003E294E"/>
    <w:rsid w:val="003E6C88"/>
    <w:rsid w:val="00405D6E"/>
    <w:rsid w:val="0040687C"/>
    <w:rsid w:val="00424E3F"/>
    <w:rsid w:val="004515EE"/>
    <w:rsid w:val="00460FFC"/>
    <w:rsid w:val="004A470C"/>
    <w:rsid w:val="004A49E6"/>
    <w:rsid w:val="004A7FEC"/>
    <w:rsid w:val="004B290F"/>
    <w:rsid w:val="004D18E8"/>
    <w:rsid w:val="004D7B0D"/>
    <w:rsid w:val="004E4560"/>
    <w:rsid w:val="004F493A"/>
    <w:rsid w:val="00512DC7"/>
    <w:rsid w:val="00520A72"/>
    <w:rsid w:val="00534CF3"/>
    <w:rsid w:val="005542D1"/>
    <w:rsid w:val="00556D58"/>
    <w:rsid w:val="0056188D"/>
    <w:rsid w:val="00566A67"/>
    <w:rsid w:val="00570BE2"/>
    <w:rsid w:val="00583281"/>
    <w:rsid w:val="005A2BCC"/>
    <w:rsid w:val="005C0103"/>
    <w:rsid w:val="005D7902"/>
    <w:rsid w:val="00600836"/>
    <w:rsid w:val="006219B1"/>
    <w:rsid w:val="00626801"/>
    <w:rsid w:val="00637E20"/>
    <w:rsid w:val="00644BB2"/>
    <w:rsid w:val="00666EB3"/>
    <w:rsid w:val="0068668F"/>
    <w:rsid w:val="006B295B"/>
    <w:rsid w:val="006E6613"/>
    <w:rsid w:val="007047A0"/>
    <w:rsid w:val="00711E46"/>
    <w:rsid w:val="00712403"/>
    <w:rsid w:val="00717094"/>
    <w:rsid w:val="007213B7"/>
    <w:rsid w:val="007325DC"/>
    <w:rsid w:val="0074479F"/>
    <w:rsid w:val="00787C2D"/>
    <w:rsid w:val="007B1542"/>
    <w:rsid w:val="007C3365"/>
    <w:rsid w:val="007E7CA1"/>
    <w:rsid w:val="007F096C"/>
    <w:rsid w:val="007F0E6B"/>
    <w:rsid w:val="007F221B"/>
    <w:rsid w:val="007F589E"/>
    <w:rsid w:val="0080004E"/>
    <w:rsid w:val="00806387"/>
    <w:rsid w:val="00813AEB"/>
    <w:rsid w:val="008147AA"/>
    <w:rsid w:val="008175E3"/>
    <w:rsid w:val="00845312"/>
    <w:rsid w:val="0086135D"/>
    <w:rsid w:val="00863D4E"/>
    <w:rsid w:val="00881507"/>
    <w:rsid w:val="008A7027"/>
    <w:rsid w:val="008A7829"/>
    <w:rsid w:val="008B5F79"/>
    <w:rsid w:val="008C21F7"/>
    <w:rsid w:val="008D56BB"/>
    <w:rsid w:val="008E5EAC"/>
    <w:rsid w:val="008E7D10"/>
    <w:rsid w:val="008F0259"/>
    <w:rsid w:val="00955E72"/>
    <w:rsid w:val="00960436"/>
    <w:rsid w:val="00982E12"/>
    <w:rsid w:val="00984F47"/>
    <w:rsid w:val="009871FA"/>
    <w:rsid w:val="009D7DEC"/>
    <w:rsid w:val="009E22D0"/>
    <w:rsid w:val="009E4424"/>
    <w:rsid w:val="00A03B6F"/>
    <w:rsid w:val="00A34F44"/>
    <w:rsid w:val="00A4414A"/>
    <w:rsid w:val="00A5329F"/>
    <w:rsid w:val="00AA0FE5"/>
    <w:rsid w:val="00AD34A1"/>
    <w:rsid w:val="00AF3412"/>
    <w:rsid w:val="00B37E24"/>
    <w:rsid w:val="00B560AE"/>
    <w:rsid w:val="00B75089"/>
    <w:rsid w:val="00B978A6"/>
    <w:rsid w:val="00BA742D"/>
    <w:rsid w:val="00BA7B94"/>
    <w:rsid w:val="00BC15D2"/>
    <w:rsid w:val="00BD4147"/>
    <w:rsid w:val="00BD79CA"/>
    <w:rsid w:val="00BF2257"/>
    <w:rsid w:val="00C32411"/>
    <w:rsid w:val="00C5762C"/>
    <w:rsid w:val="00C6771D"/>
    <w:rsid w:val="00C874F8"/>
    <w:rsid w:val="00C91CA8"/>
    <w:rsid w:val="00C91CFA"/>
    <w:rsid w:val="00CE6736"/>
    <w:rsid w:val="00CF7BB7"/>
    <w:rsid w:val="00D277C5"/>
    <w:rsid w:val="00D35952"/>
    <w:rsid w:val="00D741D1"/>
    <w:rsid w:val="00D80353"/>
    <w:rsid w:val="00D84FA2"/>
    <w:rsid w:val="00D8717E"/>
    <w:rsid w:val="00D93934"/>
    <w:rsid w:val="00D94A6C"/>
    <w:rsid w:val="00DB6D5C"/>
    <w:rsid w:val="00DC593B"/>
    <w:rsid w:val="00DC7BB6"/>
    <w:rsid w:val="00DE2D25"/>
    <w:rsid w:val="00DE7F43"/>
    <w:rsid w:val="00E40AC5"/>
    <w:rsid w:val="00E51449"/>
    <w:rsid w:val="00E61DBC"/>
    <w:rsid w:val="00E77672"/>
    <w:rsid w:val="00E84B60"/>
    <w:rsid w:val="00EB322B"/>
    <w:rsid w:val="00EC586D"/>
    <w:rsid w:val="00EE3F08"/>
    <w:rsid w:val="00F00AEA"/>
    <w:rsid w:val="00F077B6"/>
    <w:rsid w:val="00F25F96"/>
    <w:rsid w:val="00F30089"/>
    <w:rsid w:val="00F5319A"/>
    <w:rsid w:val="00F545B8"/>
    <w:rsid w:val="00F65B91"/>
    <w:rsid w:val="00F65C51"/>
    <w:rsid w:val="00F74780"/>
    <w:rsid w:val="00F92621"/>
    <w:rsid w:val="00FB4711"/>
    <w:rsid w:val="00FC615E"/>
    <w:rsid w:val="00FE4353"/>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1B89E"/>
  <w15:docId w15:val="{D7FB29D8-F565-40D9-9796-3B907080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5FC"/>
    <w:rPr>
      <w:sz w:val="16"/>
      <w:szCs w:val="16"/>
    </w:rPr>
  </w:style>
  <w:style w:type="paragraph" w:styleId="CommentText">
    <w:name w:val="annotation text"/>
    <w:basedOn w:val="Normal"/>
    <w:link w:val="CommentTextChar"/>
    <w:uiPriority w:val="99"/>
    <w:semiHidden/>
    <w:unhideWhenUsed/>
    <w:rsid w:val="000055FC"/>
    <w:pPr>
      <w:spacing w:line="240" w:lineRule="auto"/>
    </w:pPr>
    <w:rPr>
      <w:sz w:val="20"/>
      <w:szCs w:val="20"/>
    </w:rPr>
  </w:style>
  <w:style w:type="character" w:customStyle="1" w:styleId="CommentTextChar">
    <w:name w:val="Comment Text Char"/>
    <w:basedOn w:val="DefaultParagraphFont"/>
    <w:link w:val="CommentText"/>
    <w:uiPriority w:val="99"/>
    <w:semiHidden/>
    <w:rsid w:val="000055FC"/>
    <w:rPr>
      <w:rFonts w:ascii="Calibri" w:hAnsi="Calibri"/>
    </w:rPr>
  </w:style>
  <w:style w:type="paragraph" w:styleId="CommentSubject">
    <w:name w:val="annotation subject"/>
    <w:basedOn w:val="CommentText"/>
    <w:next w:val="CommentText"/>
    <w:link w:val="CommentSubjectChar"/>
    <w:uiPriority w:val="99"/>
    <w:semiHidden/>
    <w:unhideWhenUsed/>
    <w:rsid w:val="000055FC"/>
    <w:rPr>
      <w:b/>
      <w:bCs/>
    </w:rPr>
  </w:style>
  <w:style w:type="character" w:customStyle="1" w:styleId="CommentSubjectChar">
    <w:name w:val="Comment Subject Char"/>
    <w:basedOn w:val="CommentTextChar"/>
    <w:link w:val="CommentSubject"/>
    <w:uiPriority w:val="99"/>
    <w:semiHidden/>
    <w:rsid w:val="000055FC"/>
    <w:rPr>
      <w:rFonts w:ascii="Calibri" w:hAnsi="Calibri"/>
      <w:b/>
      <w:bCs/>
    </w:rPr>
  </w:style>
  <w:style w:type="paragraph" w:styleId="NoSpacing">
    <w:name w:val="No Spacing"/>
    <w:uiPriority w:val="1"/>
    <w:qFormat/>
    <w:rsid w:val="00520A7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C6587FE8-06EE-4C12-9FE7-B4A2F6609B9E}">
  <ds:schemaRefs>
    <ds:schemaRef ds:uri="http://schemas.openxmlformats.org/officeDocument/2006/bibliography"/>
  </ds:schemaRefs>
</ds:datastoreItem>
</file>

<file path=customXml/itemProps2.xml><?xml version="1.0" encoding="utf-8"?>
<ds:datastoreItem xmlns:ds="http://schemas.openxmlformats.org/officeDocument/2006/customXml" ds:itemID="{67ED8E31-CEF0-42AF-B43D-B9D7B023FE2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1392</Words>
  <Characters>7941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Emily Dyson</cp:lastModifiedBy>
  <cp:revision>2</cp:revision>
  <dcterms:created xsi:type="dcterms:W3CDTF">2026-04-22T13:11:00Z</dcterms:created>
  <dcterms:modified xsi:type="dcterms:W3CDTF">2026-04-22T13:11:00Z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52557845-020b-451d-bdc5-1a08822c50eb</vt:lpwstr>
  </property>
  <property fmtid="{D5CDD505-2E9C-101B-9397-08002B2CF9AE}" pid="3" name="bjSaver">
    <vt:lpwstr>I8Jw5yN+d/v6Sgl4+053dZWAilaIhBQ6</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y fmtid="{D5CDD505-2E9C-101B-9397-08002B2CF9AE}" pid="8" name="MSIP_Label_2e5b055e-6389-4aaa-9773-d82c74c1b8d4_Enabled">
    <vt:lpwstr>true</vt:lpwstr>
  </property>
  <property fmtid="{D5CDD505-2E9C-101B-9397-08002B2CF9AE}" pid="9" name="MSIP_Label_2e5b055e-6389-4aaa-9773-d82c74c1b8d4_SetDate">
    <vt:lpwstr>2025-11-24T09:08:15Z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c6a0a4ee-6a1a-40a8-b4f9-6d2062db2cab</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