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3969"/>
        <w:gridCol w:w="1985"/>
        <w:gridCol w:w="2976"/>
      </w:tblGrid>
      <w:tr w:rsidR="00F5319A" w:rsidRPr="00B75089" w14:paraId="26A74937" w14:textId="77777777" w:rsidTr="00306334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46A7278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969" w:type="dxa"/>
            <w:vAlign w:val="center"/>
          </w:tcPr>
          <w:p w14:paraId="12B65444" w14:textId="47AC6CF2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Marketing Executive</w:t>
            </w:r>
            <w:r w:rsidR="00496FC6" w:rsidRPr="009A7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2C5">
              <w:rPr>
                <w:rFonts w:ascii="Arial" w:hAnsi="Arial" w:cs="Arial"/>
                <w:sz w:val="20"/>
                <w:szCs w:val="20"/>
              </w:rPr>
              <w:t>Risk Prevention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7CB730A" w14:textId="77777777" w:rsidR="00F5319A" w:rsidRPr="009A7F00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76" w:type="dxa"/>
            <w:vAlign w:val="center"/>
          </w:tcPr>
          <w:p w14:paraId="53094BA1" w14:textId="086628A8" w:rsidR="00F94B7F" w:rsidRPr="009A7F00" w:rsidRDefault="00F442C5" w:rsidP="00C03AC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Brand, Marketing and Communications Manager</w:t>
            </w:r>
          </w:p>
        </w:tc>
      </w:tr>
      <w:tr w:rsidR="00F5319A" w:rsidRPr="00B75089" w14:paraId="225389D4" w14:textId="77777777" w:rsidTr="00306334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AB081C4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969" w:type="dxa"/>
            <w:vAlign w:val="center"/>
          </w:tcPr>
          <w:p w14:paraId="606F44A5" w14:textId="77777777" w:rsidR="00F5319A" w:rsidRPr="009A7F00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A9654E" w14:textId="77777777" w:rsidR="00F5319A" w:rsidRPr="009A7F00" w:rsidRDefault="006219B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9A7F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14:paraId="28A02260" w14:textId="77777777" w:rsidR="00F5319A" w:rsidRPr="009A7F00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Brand and Marketing</w:t>
            </w:r>
          </w:p>
        </w:tc>
      </w:tr>
      <w:tr w:rsidR="00F5319A" w:rsidRPr="00B75089" w14:paraId="3C32FC37" w14:textId="77777777" w:rsidTr="00306334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9DB5265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969" w:type="dxa"/>
            <w:vMerge w:val="restart"/>
            <w:vAlign w:val="center"/>
          </w:tcPr>
          <w:p w14:paraId="6DF4D85C" w14:textId="77777777" w:rsidR="00D83225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651D425F" w14:textId="77777777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82794" w14:textId="77777777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8633647" w14:textId="77777777" w:rsidR="00F5319A" w:rsidRPr="009A7F00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76" w:type="dxa"/>
            <w:vAlign w:val="center"/>
          </w:tcPr>
          <w:p w14:paraId="51260FA5" w14:textId="389E8392" w:rsidR="00B75089" w:rsidRPr="009A7F00" w:rsidRDefault="00496FC6" w:rsidP="008069E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 xml:space="preserve">Execute Marketing strategy across </w:t>
            </w:r>
            <w:r w:rsidR="004B2511">
              <w:rPr>
                <w:rFonts w:ascii="Arial" w:hAnsi="Arial" w:cs="Arial"/>
                <w:sz w:val="20"/>
                <w:szCs w:val="20"/>
              </w:rPr>
              <w:t>international markets</w:t>
            </w:r>
          </w:p>
        </w:tc>
      </w:tr>
      <w:tr w:rsidR="00F5319A" w:rsidRPr="00B75089" w14:paraId="1FF2B931" w14:textId="77777777" w:rsidTr="00306334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B02AA91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00563553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4870EC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76" w:type="dxa"/>
            <w:vAlign w:val="center"/>
          </w:tcPr>
          <w:p w14:paraId="2420B0F4" w14:textId="77777777" w:rsidR="00F5319A" w:rsidRPr="00B75089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153150BA" w14:textId="3CD17226" w:rsidR="00F5319A" w:rsidRPr="00B75089" w:rsidRDefault="00C03ACC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="0030633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300k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</w:tc>
      </w:tr>
      <w:tr w:rsidR="00F5319A" w:rsidRPr="00B75089" w14:paraId="480F26EA" w14:textId="77777777" w:rsidTr="00306334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DB73ED1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9F1A7FD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C65ECB" w14:textId="77777777" w:rsidR="00F5319A" w:rsidRPr="00B75089" w:rsidRDefault="007E7CA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2976" w:type="dxa"/>
            <w:vAlign w:val="center"/>
          </w:tcPr>
          <w:p w14:paraId="032F48F9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44DDD0C9" w14:textId="77777777" w:rsidTr="00306334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854AA2B" w14:textId="77777777" w:rsidR="007E7CA1" w:rsidRPr="00B75089" w:rsidRDefault="007E7CA1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969" w:type="dxa"/>
            <w:vAlign w:val="center"/>
          </w:tcPr>
          <w:p w14:paraId="3310DEDB" w14:textId="2804E9D0" w:rsidR="007E7CA1" w:rsidRPr="00B75089" w:rsidRDefault="00CE4995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4666D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94249FB" w14:textId="77777777" w:rsidR="007E7CA1" w:rsidRPr="00B75089" w:rsidRDefault="007E7CA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76" w:type="dxa"/>
            <w:vAlign w:val="center"/>
          </w:tcPr>
          <w:p w14:paraId="6F1CF487" w14:textId="1546A5B9" w:rsidR="007E7CA1" w:rsidRPr="00B75089" w:rsidRDefault="004666DB" w:rsidP="008069E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Sales, Marketing and Communications</w:t>
            </w:r>
          </w:p>
        </w:tc>
      </w:tr>
    </w:tbl>
    <w:p w14:paraId="0C9F7EAC" w14:textId="77777777" w:rsidR="00F5319A" w:rsidRPr="00507F7E" w:rsidRDefault="00F5319A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59DD2C7A" w14:textId="77777777" w:rsidTr="00CB5D24">
        <w:trPr>
          <w:trHeight w:val="421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5DCB432E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42B12420" w14:textId="77777777" w:rsidTr="00C874F8">
        <w:trPr>
          <w:trHeight w:val="669"/>
        </w:trPr>
        <w:tc>
          <w:tcPr>
            <w:tcW w:w="10509" w:type="dxa"/>
            <w:vAlign w:val="center"/>
          </w:tcPr>
          <w:p w14:paraId="0E296338" w14:textId="2755BB39" w:rsidR="00507F7E" w:rsidRPr="00A913BF" w:rsidRDefault="00507F7E" w:rsidP="00507F7E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the role is to deliver and implement </w:t>
            </w:r>
            <w:r w:rsidRPr="00A913BF">
              <w:rPr>
                <w:rFonts w:ascii="Arial" w:hAnsi="Arial" w:cs="Arial"/>
                <w:sz w:val="20"/>
                <w:szCs w:val="20"/>
              </w:rPr>
              <w:t>marketing and communications strategy to improve awareness levels of Risk Prevention (individual members and B2B (Cognitive Institute)</w:t>
            </w:r>
            <w:r>
              <w:rPr>
                <w:rFonts w:ascii="Arial" w:hAnsi="Arial" w:cs="Arial"/>
                <w:sz w:val="20"/>
                <w:szCs w:val="20"/>
              </w:rPr>
              <w:t xml:space="preserve">, supporting </w:t>
            </w:r>
            <w:r w:rsidRPr="00A913BF">
              <w:rPr>
                <w:rFonts w:ascii="Arial" w:hAnsi="Arial" w:cs="Arial"/>
                <w:sz w:val="20"/>
                <w:szCs w:val="20"/>
              </w:rPr>
              <w:t xml:space="preserve">acquisition, cross-sell, </w:t>
            </w:r>
            <w:proofErr w:type="gramStart"/>
            <w:r w:rsidRPr="00A913BF">
              <w:rPr>
                <w:rFonts w:ascii="Arial" w:hAnsi="Arial" w:cs="Arial"/>
                <w:sz w:val="20"/>
                <w:szCs w:val="20"/>
              </w:rPr>
              <w:t>loyalty</w:t>
            </w:r>
            <w:proofErr w:type="gramEnd"/>
            <w:r w:rsidRPr="00A913BF">
              <w:rPr>
                <w:rFonts w:ascii="Arial" w:hAnsi="Arial" w:cs="Arial"/>
                <w:sz w:val="20"/>
                <w:szCs w:val="20"/>
              </w:rPr>
              <w:t xml:space="preserve"> and retention across </w:t>
            </w:r>
            <w:r>
              <w:rPr>
                <w:rFonts w:ascii="Arial" w:hAnsi="Arial" w:cs="Arial"/>
                <w:sz w:val="20"/>
                <w:szCs w:val="20"/>
              </w:rPr>
              <w:t>the organisation</w:t>
            </w:r>
          </w:p>
          <w:p w14:paraId="64D01363" w14:textId="7585D83C" w:rsidR="00507F7E" w:rsidRPr="00A913BF" w:rsidRDefault="00507F7E" w:rsidP="00507F7E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role</w:t>
            </w:r>
            <w:r w:rsidRPr="00A913BF">
              <w:rPr>
                <w:rFonts w:ascii="Arial" w:hAnsi="Arial" w:cs="Arial"/>
                <w:sz w:val="20"/>
                <w:szCs w:val="20"/>
              </w:rPr>
              <w:t xml:space="preserve"> requires ownership of a robust marketing plan to deliver effective campaigns that drive awareness and increase </w:t>
            </w:r>
            <w:r>
              <w:rPr>
                <w:rFonts w:ascii="Arial" w:hAnsi="Arial" w:cs="Arial"/>
                <w:sz w:val="20"/>
                <w:szCs w:val="20"/>
              </w:rPr>
              <w:t xml:space="preserve">essential skills </w:t>
            </w:r>
            <w:r w:rsidRPr="00A913BF">
              <w:rPr>
                <w:rFonts w:ascii="Arial" w:hAnsi="Arial" w:cs="Arial"/>
                <w:sz w:val="20"/>
                <w:szCs w:val="20"/>
              </w:rPr>
              <w:t xml:space="preserve">course participation rates among members across a global market. </w:t>
            </w:r>
          </w:p>
          <w:p w14:paraId="15002C53" w14:textId="64EB9735" w:rsidR="009E22D0" w:rsidRPr="002640B5" w:rsidRDefault="00507F7E" w:rsidP="00507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13BF">
              <w:rPr>
                <w:rFonts w:ascii="Arial" w:hAnsi="Arial" w:cs="Arial"/>
                <w:sz w:val="20"/>
                <w:szCs w:val="20"/>
              </w:rPr>
              <w:t xml:space="preserve">This role also </w:t>
            </w:r>
            <w:r>
              <w:rPr>
                <w:rFonts w:ascii="Arial" w:hAnsi="Arial" w:cs="Arial"/>
                <w:sz w:val="20"/>
                <w:szCs w:val="20"/>
              </w:rPr>
              <w:t>contributes to the delivery and implementation</w:t>
            </w:r>
            <w:r w:rsidRPr="00A913BF">
              <w:rPr>
                <w:rFonts w:ascii="Arial" w:hAnsi="Arial" w:cs="Arial"/>
                <w:sz w:val="20"/>
                <w:szCs w:val="20"/>
              </w:rPr>
              <w:t xml:space="preserve"> of the Risk Prevention B2B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3BF">
              <w:rPr>
                <w:rFonts w:ascii="Arial" w:hAnsi="Arial" w:cs="Arial"/>
                <w:sz w:val="20"/>
                <w:szCs w:val="20"/>
              </w:rPr>
              <w:t>marketing strategy to raise awareness and drive commercial uptake of Cognitive Institute programmes and services within Asia Pacific, and to support the MPS Partnerships strategy in global markets</w:t>
            </w:r>
          </w:p>
        </w:tc>
      </w:tr>
    </w:tbl>
    <w:p w14:paraId="20C3AD67" w14:textId="77777777" w:rsidR="009E22D0" w:rsidRPr="00507F7E" w:rsidRDefault="009E22D0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508"/>
        <w:gridCol w:w="2979"/>
      </w:tblGrid>
      <w:tr w:rsidR="009E22D0" w:rsidRPr="00B75089" w14:paraId="40FB6247" w14:textId="77777777" w:rsidTr="00507F7E">
        <w:trPr>
          <w:trHeight w:val="487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0DE010BA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67EE6DE9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60CC4C2F" w14:textId="77777777" w:rsidTr="00507F7E">
        <w:trPr>
          <w:trHeight w:val="1982"/>
        </w:trPr>
        <w:tc>
          <w:tcPr>
            <w:tcW w:w="7508" w:type="dxa"/>
          </w:tcPr>
          <w:p w14:paraId="06F62772" w14:textId="77777777" w:rsidR="00D84FA2" w:rsidRPr="00FE4353" w:rsidRDefault="00496FC6" w:rsidP="008069E7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Operational </w:t>
            </w:r>
            <w:r w:rsidR="00D84FA2" w:rsidRPr="00FE435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2BFEDE6F" w14:textId="5F542427" w:rsidR="00E95465" w:rsidRPr="00E95465" w:rsidRDefault="00E95465" w:rsidP="0000220B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hAnsi="Arial" w:cs="Arial"/>
                <w:sz w:val="20"/>
                <w:szCs w:val="20"/>
              </w:rPr>
              <w:t>Work closely with the segment and regional planners</w:t>
            </w:r>
            <w:r w:rsidR="0000220B">
              <w:rPr>
                <w:rFonts w:ascii="Arial" w:hAnsi="Arial" w:cs="Arial"/>
                <w:sz w:val="20"/>
                <w:szCs w:val="20"/>
              </w:rPr>
              <w:t xml:space="preserve"> and Risk Prevention</w:t>
            </w:r>
            <w:r w:rsidRPr="00E95465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00220B">
              <w:rPr>
                <w:rFonts w:ascii="Arial" w:hAnsi="Arial" w:cs="Arial"/>
                <w:sz w:val="20"/>
                <w:szCs w:val="20"/>
              </w:rPr>
              <w:t>deliver and implement the Risk Prevention strategy and plan to deliver agreed annual targets</w:t>
            </w:r>
            <w:r w:rsidRPr="00E954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66FC00" w14:textId="07B23DD7" w:rsidR="00496FC6" w:rsidRPr="00E95465" w:rsidRDefault="00496FC6" w:rsidP="0000220B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E95465">
              <w:rPr>
                <w:rFonts w:ascii="Arial" w:eastAsia="Calibri" w:hAnsi="Arial" w:cs="Arial"/>
                <w:sz w:val="20"/>
                <w:szCs w:val="20"/>
              </w:rPr>
              <w:t xml:space="preserve">Support and lead where required on assigned Business Development and Engagement projects affecting MPS ensuring delivery of </w:t>
            </w:r>
            <w:r w:rsidR="00545D3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proofErr w:type="gramStart"/>
            <w:r w:rsidR="00545D3C">
              <w:rPr>
                <w:rFonts w:ascii="Arial" w:eastAsia="Calibri" w:hAnsi="Arial" w:cs="Arial"/>
                <w:sz w:val="20"/>
                <w:szCs w:val="20"/>
              </w:rPr>
              <w:t>marketing  or</w:t>
            </w:r>
            <w:proofErr w:type="gramEnd"/>
            <w:r w:rsidR="00545D3C">
              <w:rPr>
                <w:rFonts w:ascii="Arial" w:eastAsia="Calibri" w:hAnsi="Arial" w:cs="Arial"/>
                <w:sz w:val="20"/>
                <w:szCs w:val="20"/>
              </w:rPr>
              <w:t xml:space="preserve"> communications aspects of the projects </w:t>
            </w:r>
            <w:r w:rsidRPr="00E95465">
              <w:rPr>
                <w:rFonts w:ascii="Arial" w:eastAsia="Calibri" w:hAnsi="Arial" w:cs="Arial"/>
                <w:sz w:val="20"/>
                <w:szCs w:val="20"/>
              </w:rPr>
              <w:t xml:space="preserve">to time, cost and quality </w:t>
            </w:r>
            <w:r w:rsidR="00545D3C">
              <w:rPr>
                <w:rFonts w:ascii="Arial" w:eastAsia="Calibri" w:hAnsi="Arial" w:cs="Arial"/>
                <w:sz w:val="20"/>
                <w:szCs w:val="20"/>
              </w:rPr>
              <w:t>to achieve strategic goals</w:t>
            </w:r>
          </w:p>
          <w:p w14:paraId="05DE5C8D" w14:textId="3FC5F770" w:rsidR="00496FC6" w:rsidRPr="00E95465" w:rsidRDefault="00496FC6" w:rsidP="0000220B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hAnsi="Arial" w:cs="Arial"/>
                <w:sz w:val="20"/>
                <w:szCs w:val="20"/>
              </w:rPr>
              <w:t xml:space="preserve">Translate and distil marketing strategy into annual multi-channel </w:t>
            </w:r>
            <w:r w:rsidR="0000220B">
              <w:rPr>
                <w:rFonts w:ascii="Arial" w:hAnsi="Arial" w:cs="Arial"/>
                <w:sz w:val="20"/>
                <w:szCs w:val="20"/>
              </w:rPr>
              <w:t xml:space="preserve"> Risk Prevention </w:t>
            </w:r>
            <w:r w:rsidRPr="00E95465">
              <w:rPr>
                <w:rFonts w:ascii="Arial" w:hAnsi="Arial" w:cs="Arial"/>
                <w:sz w:val="20"/>
                <w:szCs w:val="20"/>
              </w:rPr>
              <w:t>marketing plans to achieve agreed</w:t>
            </w:r>
            <w:r w:rsidR="0000220B">
              <w:rPr>
                <w:rFonts w:ascii="Arial" w:hAnsi="Arial" w:cs="Arial"/>
                <w:sz w:val="20"/>
                <w:szCs w:val="20"/>
              </w:rPr>
              <w:t xml:space="preserve"> departmental</w:t>
            </w:r>
            <w:r w:rsidRPr="00E95465">
              <w:rPr>
                <w:rFonts w:ascii="Arial" w:hAnsi="Arial" w:cs="Arial"/>
                <w:sz w:val="20"/>
                <w:szCs w:val="20"/>
              </w:rPr>
              <w:t xml:space="preserve"> objectives </w:t>
            </w:r>
          </w:p>
          <w:p w14:paraId="3B4BB26C" w14:textId="77777777" w:rsidR="00FE4353" w:rsidRDefault="00496FC6" w:rsidP="0000220B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hAnsi="Arial" w:cs="Arial"/>
                <w:sz w:val="20"/>
                <w:szCs w:val="20"/>
              </w:rPr>
              <w:t xml:space="preserve">Work closely with </w:t>
            </w:r>
            <w:r w:rsidR="0000220B">
              <w:rPr>
                <w:rFonts w:ascii="Arial" w:hAnsi="Arial" w:cs="Arial"/>
                <w:sz w:val="20"/>
                <w:szCs w:val="20"/>
              </w:rPr>
              <w:t>Risk Prevention</w:t>
            </w:r>
            <w:r w:rsidRPr="00E95465">
              <w:rPr>
                <w:rFonts w:ascii="Arial" w:hAnsi="Arial" w:cs="Arial"/>
                <w:sz w:val="20"/>
                <w:szCs w:val="20"/>
              </w:rPr>
              <w:t xml:space="preserve"> to develop powerful creative propositions that appeal and are relevant to members and deliver personalised propositions</w:t>
            </w:r>
          </w:p>
          <w:p w14:paraId="6208A236" w14:textId="77777777" w:rsidR="0000220B" w:rsidRPr="00063FA4" w:rsidRDefault="0000220B" w:rsidP="0000220B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FA4">
              <w:rPr>
                <w:rFonts w:ascii="Arial" w:hAnsi="Arial" w:cs="Arial"/>
                <w:sz w:val="20"/>
                <w:szCs w:val="20"/>
              </w:rPr>
              <w:t>Monitor and analyse the marketing activity providing recommendations for improvement/ opportunities.</w:t>
            </w:r>
          </w:p>
          <w:p w14:paraId="0043EEAD" w14:textId="77777777" w:rsidR="0000220B" w:rsidRPr="00063FA4" w:rsidRDefault="0000220B" w:rsidP="0000220B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3FA4">
              <w:rPr>
                <w:rFonts w:ascii="Arial" w:hAnsi="Arial" w:cs="Arial"/>
                <w:sz w:val="20"/>
                <w:szCs w:val="20"/>
              </w:rPr>
              <w:t>Lead on competitor research to build knowledge, inform and support future marketing activity.</w:t>
            </w:r>
          </w:p>
          <w:p w14:paraId="1E5357A9" w14:textId="49281C64" w:rsidR="0000220B" w:rsidRPr="00E95465" w:rsidRDefault="0000220B" w:rsidP="0000220B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63FA4">
              <w:rPr>
                <w:rFonts w:ascii="Arial" w:hAnsi="Arial" w:cs="Arial"/>
                <w:sz w:val="20"/>
                <w:szCs w:val="20"/>
              </w:rPr>
              <w:t>Execute multiple tasks and initiatives, being agile without compromising high standards</w:t>
            </w:r>
          </w:p>
        </w:tc>
        <w:tc>
          <w:tcPr>
            <w:tcW w:w="2979" w:type="dxa"/>
            <w:vAlign w:val="center"/>
          </w:tcPr>
          <w:p w14:paraId="7E56A277" w14:textId="77777777" w:rsidR="00912FBA" w:rsidRPr="00912FBA" w:rsidRDefault="00912FBA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CA3B8A6" w14:textId="77777777" w:rsidR="00912FBA" w:rsidRPr="00912FBA" w:rsidRDefault="00912FBA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0FEF973E" w14:textId="77777777" w:rsidR="00912FBA" w:rsidRDefault="00912FBA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7589DE51" w14:textId="77777777" w:rsidR="008069E7" w:rsidRPr="00912FBA" w:rsidRDefault="008069E7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Marketing delivery Vs Plan </w:t>
            </w:r>
          </w:p>
          <w:p w14:paraId="4522BD7D" w14:textId="77777777" w:rsidR="009E22D0" w:rsidRPr="00B75089" w:rsidRDefault="009E22D0" w:rsidP="008069E7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2938037" w14:textId="77777777" w:rsidTr="00507F7E">
        <w:trPr>
          <w:trHeight w:val="578"/>
        </w:trPr>
        <w:tc>
          <w:tcPr>
            <w:tcW w:w="7508" w:type="dxa"/>
          </w:tcPr>
          <w:p w14:paraId="189396DF" w14:textId="2610C3BF" w:rsidR="009E22D0" w:rsidRPr="00FE4353" w:rsidRDefault="009E22D0" w:rsidP="008069E7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710F9CC9" w14:textId="5BB149D1" w:rsidR="009E22D0" w:rsidRDefault="00644BB2" w:rsidP="004B2511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 w:rsidR="0000220B">
              <w:rPr>
                <w:rFonts w:ascii="Arial" w:eastAsia="Calibri" w:hAnsi="Arial" w:cs="Arial"/>
                <w:sz w:val="20"/>
                <w:szCs w:val="20"/>
              </w:rPr>
              <w:t>Brand, Marketing and Communications Manager</w:t>
            </w:r>
            <w:r w:rsidR="00496F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EFEB890" w14:textId="77777777" w:rsidR="00496FC6" w:rsidRPr="003D59DC" w:rsidRDefault="00496FC6" w:rsidP="004B2511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lastRenderedPageBreak/>
              <w:t>Build and/or validate commercial and analytical value forecasts</w:t>
            </w:r>
            <w:r w:rsidR="008069E7">
              <w:rPr>
                <w:rFonts w:ascii="Arial" w:hAnsi="Arial" w:cs="Arial"/>
                <w:sz w:val="20"/>
                <w:szCs w:val="20"/>
              </w:rPr>
              <w:t xml:space="preserve"> into the quarterly </w:t>
            </w:r>
            <w:r w:rsidRPr="003D59DC">
              <w:rPr>
                <w:rFonts w:ascii="Arial" w:hAnsi="Arial" w:cs="Arial"/>
                <w:sz w:val="20"/>
                <w:szCs w:val="20"/>
              </w:rPr>
              <w:t>planning process and campaign process for continual improvement and refinement</w:t>
            </w:r>
          </w:p>
          <w:p w14:paraId="0CFB5BBC" w14:textId="52280420" w:rsidR="00496FC6" w:rsidRDefault="0000220B" w:rsidP="004B2511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closely with Digital Communications and Ops and Delivery to monitor performance data for member communications</w:t>
            </w:r>
            <w:r w:rsidRPr="003D5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496FC6" w:rsidRPr="003D59DC">
              <w:rPr>
                <w:rFonts w:ascii="Arial" w:hAnsi="Arial" w:cs="Arial"/>
                <w:sz w:val="20"/>
                <w:szCs w:val="20"/>
              </w:rPr>
              <w:t>present actionable insight that drives effective ROI on campaigns</w:t>
            </w:r>
          </w:p>
          <w:p w14:paraId="21FAF2AC" w14:textId="77777777" w:rsidR="00C32411" w:rsidRPr="00644BB2" w:rsidRDefault="00C32411" w:rsidP="008069E7">
            <w:pPr>
              <w:pStyle w:val="ListParagraph"/>
              <w:spacing w:before="0" w:beforeAutospacing="0" w:after="4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14:paraId="4B50E003" w14:textId="77777777" w:rsidR="003D59DC" w:rsidRPr="003D59DC" w:rsidRDefault="003D59DC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lastRenderedPageBreak/>
              <w:t>Income Vs plan</w:t>
            </w:r>
          </w:p>
          <w:p w14:paraId="78AEA788" w14:textId="77777777" w:rsidR="003D59DC" w:rsidRPr="003D59DC" w:rsidRDefault="003D59DC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Retention targets delivered Vs plan</w:t>
            </w:r>
          </w:p>
          <w:p w14:paraId="5F5E0171" w14:textId="77777777" w:rsidR="003D59DC" w:rsidRPr="008069E7" w:rsidRDefault="003D59DC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Cost of sales Vs plan</w:t>
            </w:r>
          </w:p>
          <w:p w14:paraId="346A41C4" w14:textId="4440E967" w:rsidR="009E22D0" w:rsidRDefault="003D59DC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lastRenderedPageBreak/>
              <w:t>Return on education</w:t>
            </w:r>
            <w:r w:rsidR="008069E7">
              <w:rPr>
                <w:rFonts w:ascii="Arial" w:eastAsia="Calibri" w:hAnsi="Arial" w:cs="Arial"/>
                <w:sz w:val="20"/>
                <w:szCs w:val="20"/>
              </w:rPr>
              <w:t xml:space="preserve"> investment</w:t>
            </w:r>
            <w:r w:rsidRPr="003D59DC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14:paraId="7E46AD24" w14:textId="77777777" w:rsidR="0000220B" w:rsidRPr="004A0C60" w:rsidRDefault="0000220B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Risk Prevention m</w:t>
            </w:r>
            <w:r w:rsidRPr="004A0C60">
              <w:rPr>
                <w:rFonts w:ascii="Arial" w:eastAsia="Calibri" w:hAnsi="Arial" w:cs="Arial"/>
                <w:sz w:val="20"/>
                <w:szCs w:val="20"/>
              </w:rPr>
              <w:t>arketing budget Vs Plan</w:t>
            </w:r>
          </w:p>
          <w:p w14:paraId="786D3702" w14:textId="77777777" w:rsidR="0000220B" w:rsidRPr="004A0C60" w:rsidRDefault="0000220B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Risk Prevention m</w:t>
            </w:r>
            <w:r w:rsidRPr="004A0C60">
              <w:rPr>
                <w:rFonts w:ascii="Arial" w:eastAsia="Calibri" w:hAnsi="Arial" w:cs="Arial"/>
                <w:sz w:val="20"/>
                <w:szCs w:val="20"/>
              </w:rPr>
              <w:t>ember numbers Vs plan</w:t>
            </w:r>
          </w:p>
          <w:p w14:paraId="0946DADB" w14:textId="0423864C" w:rsidR="0000220B" w:rsidRPr="0000220B" w:rsidRDefault="0000220B" w:rsidP="00507F7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Cognitive / Risk Prevention </w:t>
            </w:r>
            <w:r w:rsidRPr="004A0C60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6B69BD63" w14:textId="77777777" w:rsidR="008069E7" w:rsidRPr="00FE4353" w:rsidRDefault="008069E7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ROI on marketing campaigns </w:t>
            </w:r>
          </w:p>
        </w:tc>
      </w:tr>
      <w:tr w:rsidR="009E22D0" w:rsidRPr="00B75089" w14:paraId="75CD5137" w14:textId="77777777" w:rsidTr="00507F7E">
        <w:trPr>
          <w:trHeight w:val="578"/>
        </w:trPr>
        <w:tc>
          <w:tcPr>
            <w:tcW w:w="7508" w:type="dxa"/>
          </w:tcPr>
          <w:p w14:paraId="7FAAA48E" w14:textId="77777777" w:rsidR="009E22D0" w:rsidRPr="00C874F8" w:rsidRDefault="009E22D0" w:rsidP="008069E7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874F8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5077CEFA" w14:textId="77777777" w:rsidR="000565E7" w:rsidRDefault="000565E7" w:rsidP="00F62255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B290F">
              <w:rPr>
                <w:rFonts w:ascii="Arial" w:eastAsia="Calibri" w:hAnsi="Arial" w:cs="Arial"/>
                <w:sz w:val="20"/>
                <w:szCs w:val="20"/>
              </w:rPr>
              <w:t>Monitor and provide robust challenge of emerging people risks and issues arising from business activities which fail to deliver appropriate and consistent outcomes for members or are likely to have a material adverse effect on the Group, its operation or financial security</w:t>
            </w:r>
          </w:p>
          <w:p w14:paraId="1F4C1C2C" w14:textId="77777777" w:rsidR="00496FC6" w:rsidRPr="003D59DC" w:rsidRDefault="00496FC6" w:rsidP="00F62255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 xml:space="preserve">Identify critical issues, </w:t>
            </w:r>
            <w:proofErr w:type="gramStart"/>
            <w:r w:rsidRPr="003D59DC">
              <w:rPr>
                <w:rFonts w:ascii="Arial" w:hAnsi="Arial" w:cs="Arial"/>
                <w:sz w:val="20"/>
                <w:szCs w:val="20"/>
              </w:rPr>
              <w:t>trends</w:t>
            </w:r>
            <w:proofErr w:type="gramEnd"/>
            <w:r w:rsidRPr="003D59DC">
              <w:rPr>
                <w:rFonts w:ascii="Arial" w:hAnsi="Arial" w:cs="Arial"/>
                <w:sz w:val="20"/>
                <w:szCs w:val="20"/>
              </w:rPr>
              <w:t xml:space="preserve"> and opportunities within MPS’s diverse member / client base targeting activity appropriately to achieve pre agreed objectives</w:t>
            </w:r>
          </w:p>
          <w:p w14:paraId="45E1852C" w14:textId="420DD72E" w:rsidR="00496FC6" w:rsidRDefault="00496FC6" w:rsidP="00F62255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Develop marketing tactics and quarterly campaigns including recommendations for sponsorships and events to support new business acquisition, generate engagement and achieve retention targets</w:t>
            </w:r>
          </w:p>
          <w:p w14:paraId="47483E71" w14:textId="77777777" w:rsidR="00F62255" w:rsidRPr="00F62255" w:rsidRDefault="00496FC6" w:rsidP="00F62255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a culture of</w:t>
            </w:r>
            <w:r w:rsidRPr="004B290F">
              <w:rPr>
                <w:rFonts w:ascii="Arial" w:eastAsia="Calibri" w:hAnsi="Arial" w:cs="Arial"/>
                <w:sz w:val="20"/>
                <w:szCs w:val="20"/>
              </w:rPr>
              <w:t xml:space="preserve"> continuous improvement to drive operational efficiency and great member experiences and outcomes</w:t>
            </w:r>
          </w:p>
          <w:p w14:paraId="39905FE6" w14:textId="77777777" w:rsidR="00F62255" w:rsidRPr="00340167" w:rsidRDefault="00F62255" w:rsidP="00F62255">
            <w:pPr>
              <w:pStyle w:val="ListParagraph"/>
              <w:numPr>
                <w:ilvl w:val="0"/>
                <w:numId w:val="21"/>
              </w:numPr>
              <w:spacing w:before="12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1D3CB8">
              <w:rPr>
                <w:rFonts w:ascii="Arial" w:eastAsia="Calibri" w:hAnsi="Arial" w:cs="Arial"/>
                <w:sz w:val="20"/>
                <w:szCs w:val="20"/>
              </w:rPr>
              <w:t>Regularly evaluat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1D3CB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campaigns to report back to the Risk Prevention Lead, documenting the results to share with key stakeholders and for continuous improvements to future campaigns and member experience. </w:t>
            </w:r>
          </w:p>
          <w:p w14:paraId="6C6D2883" w14:textId="6F070D68" w:rsidR="00496FC6" w:rsidRPr="00F62255" w:rsidRDefault="00F62255" w:rsidP="00F62255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A0C60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Identify 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competitor activity and market developments in healthcare to share knowledge </w:t>
            </w:r>
            <w:r w:rsidRPr="004A0C60">
              <w:rPr>
                <w:rFonts w:ascii="Arial" w:eastAsia="Calibri" w:hAnsi="Arial" w:cs="Arial"/>
                <w:sz w:val="20"/>
                <w:szCs w:val="20"/>
                <w:lang w:eastAsia="en-GB"/>
              </w:rPr>
              <w:t>and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ensure effective and relevant communications to members.</w:t>
            </w:r>
            <w:r w:rsidR="00496FC6" w:rsidRPr="00F6225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Align w:val="center"/>
          </w:tcPr>
          <w:p w14:paraId="32B81603" w14:textId="77777777" w:rsidR="008069E7" w:rsidRPr="004F7C57" w:rsidRDefault="008069E7" w:rsidP="00F622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F7C57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B3144A2" w14:textId="77777777" w:rsidR="008069E7" w:rsidRPr="009317A0" w:rsidRDefault="008069E7" w:rsidP="00F622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0C22E900" w14:textId="77777777" w:rsidR="008069E7" w:rsidRPr="009317A0" w:rsidRDefault="008069E7" w:rsidP="00F622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325158ED" w14:textId="77777777" w:rsidR="009E22D0" w:rsidRPr="00644BB2" w:rsidRDefault="009E22D0" w:rsidP="008069E7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FA858B0" w14:textId="77777777" w:rsidTr="00507F7E">
        <w:trPr>
          <w:trHeight w:val="1505"/>
        </w:trPr>
        <w:tc>
          <w:tcPr>
            <w:tcW w:w="7508" w:type="dxa"/>
            <w:vAlign w:val="center"/>
          </w:tcPr>
          <w:p w14:paraId="60B19201" w14:textId="77777777" w:rsidR="009E22D0" w:rsidRPr="00B75089" w:rsidRDefault="009E22D0" w:rsidP="008069E7">
            <w:pPr>
              <w:spacing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73B2747" w14:textId="769C3F7E" w:rsidR="00496FC6" w:rsidRDefault="00496FC6" w:rsidP="00A4178E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</w:t>
            </w:r>
            <w:r w:rsidR="00A4178E" w:rsidRPr="00644BB2">
              <w:rPr>
                <w:rFonts w:ascii="Arial" w:hAnsi="Arial" w:cs="Arial"/>
                <w:sz w:val="20"/>
                <w:szCs w:val="20"/>
              </w:rPr>
              <w:t>performance,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and engagement ensuring clarity on own accountabilities and comply with all governance,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standards and processes</w:t>
            </w:r>
          </w:p>
          <w:p w14:paraId="535E8C62" w14:textId="716E68E4" w:rsidR="00496FC6" w:rsidRDefault="00496FC6" w:rsidP="00A4178E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B16">
              <w:rPr>
                <w:rFonts w:ascii="Arial" w:hAnsi="Arial" w:cs="Arial"/>
                <w:sz w:val="20"/>
                <w:szCs w:val="20"/>
              </w:rPr>
              <w:t xml:space="preserve">Build good working relationships with a range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00B16">
              <w:rPr>
                <w:rFonts w:ascii="Arial" w:hAnsi="Arial" w:cs="Arial"/>
                <w:sz w:val="20"/>
                <w:szCs w:val="20"/>
              </w:rPr>
              <w:t xml:space="preserve">takeholders and support the </w:t>
            </w:r>
            <w:r>
              <w:rPr>
                <w:rFonts w:ascii="Arial" w:hAnsi="Arial" w:cs="Arial"/>
                <w:sz w:val="20"/>
                <w:szCs w:val="20"/>
              </w:rPr>
              <w:t>Brand &amp; Marketing</w:t>
            </w:r>
            <w:r w:rsidRPr="00A00B16">
              <w:rPr>
                <w:rFonts w:ascii="Arial" w:hAnsi="Arial" w:cs="Arial"/>
                <w:sz w:val="20"/>
                <w:szCs w:val="20"/>
              </w:rPr>
              <w:t xml:space="preserve"> leadership team in managing these stakeholder expectations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to ensure cross divisional collaboration</w:t>
            </w:r>
          </w:p>
          <w:p w14:paraId="6D3C7147" w14:textId="77777777" w:rsidR="00496FC6" w:rsidRPr="00B12189" w:rsidRDefault="00496FC6" w:rsidP="00A4178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2062C">
              <w:rPr>
                <w:rFonts w:ascii="Arial" w:eastAsia="Calibri" w:hAnsi="Arial" w:cs="Arial"/>
                <w:sz w:val="20"/>
                <w:szCs w:val="20"/>
              </w:rPr>
              <w:t xml:space="preserve">ontribute to both individual and team objectives and performance metrics to ensure the </w:t>
            </w:r>
            <w:r>
              <w:rPr>
                <w:rFonts w:ascii="Arial" w:eastAsia="Calibri" w:hAnsi="Arial" w:cs="Arial"/>
                <w:sz w:val="20"/>
                <w:szCs w:val="20"/>
              </w:rPr>
              <w:t>Brand &amp; Marketing</w:t>
            </w:r>
            <w:r w:rsidRPr="00A00B16">
              <w:rPr>
                <w:rFonts w:ascii="Arial" w:eastAsia="Calibri" w:hAnsi="Arial" w:cs="Arial"/>
                <w:sz w:val="20"/>
                <w:szCs w:val="20"/>
              </w:rPr>
              <w:t xml:space="preserve"> team remains a highly performing team </w:t>
            </w:r>
          </w:p>
          <w:p w14:paraId="42D29D4A" w14:textId="3AB93CBB" w:rsidR="00496FC6" w:rsidRDefault="00496FC6" w:rsidP="00A4178E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 xml:space="preserve">Collaborate with digital, design, </w:t>
            </w:r>
            <w:proofErr w:type="gramStart"/>
            <w:r w:rsidRPr="003D59DC">
              <w:rPr>
                <w:rFonts w:ascii="Arial" w:hAnsi="Arial" w:cs="Arial"/>
                <w:sz w:val="20"/>
                <w:szCs w:val="20"/>
              </w:rPr>
              <w:t>content</w:t>
            </w:r>
            <w:proofErr w:type="gramEnd"/>
            <w:r w:rsidRPr="003D59DC">
              <w:rPr>
                <w:rFonts w:ascii="Arial" w:hAnsi="Arial" w:cs="Arial"/>
                <w:sz w:val="20"/>
                <w:szCs w:val="20"/>
              </w:rPr>
              <w:t xml:space="preserve"> and planning teams to develop new and inventive solutions to meet segment specific targets</w:t>
            </w:r>
          </w:p>
          <w:p w14:paraId="6F5BB4FC" w14:textId="5BCE4D6C" w:rsidR="00A4178E" w:rsidRPr="00A4178E" w:rsidRDefault="00A4178E" w:rsidP="00A417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442">
              <w:rPr>
                <w:rFonts w:ascii="Arial" w:hAnsi="Arial" w:cs="Arial"/>
                <w:sz w:val="20"/>
                <w:szCs w:val="20"/>
              </w:rPr>
              <w:t>Collaborate with the Risk Prevention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92442">
              <w:rPr>
                <w:rFonts w:ascii="Arial" w:hAnsi="Arial" w:cs="Arial"/>
                <w:sz w:val="20"/>
                <w:szCs w:val="20"/>
              </w:rPr>
              <w:t xml:space="preserve"> Hospital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Programme,</w:t>
            </w:r>
            <w:r w:rsidRPr="00892442">
              <w:rPr>
                <w:rFonts w:ascii="Arial" w:hAnsi="Arial" w:cs="Arial"/>
                <w:sz w:val="20"/>
                <w:szCs w:val="20"/>
              </w:rPr>
              <w:t xml:space="preserve"> Client Management, Education Development, and Ops and Delivery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92442">
              <w:rPr>
                <w:rFonts w:ascii="Arial" w:hAnsi="Arial" w:cs="Arial"/>
                <w:sz w:val="20"/>
                <w:szCs w:val="20"/>
              </w:rPr>
              <w:t>eams to deliver the best outcomes for members and clients.</w:t>
            </w:r>
          </w:p>
          <w:p w14:paraId="24E8FA53" w14:textId="77777777" w:rsidR="00496FC6" w:rsidRPr="003D59DC" w:rsidRDefault="00496FC6" w:rsidP="008069E7">
            <w:pPr>
              <w:pStyle w:val="ListParagraph"/>
              <w:spacing w:before="0" w:before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14:paraId="18D7FED9" w14:textId="77777777" w:rsidR="003D59DC" w:rsidRPr="003D59DC" w:rsidRDefault="003D59DC" w:rsidP="00A4178E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31588341" w14:textId="612E0960" w:rsidR="003D59DC" w:rsidRDefault="003D59DC" w:rsidP="00A4178E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00B0904B" w14:textId="77777777" w:rsidR="00A4178E" w:rsidRPr="00682B78" w:rsidRDefault="00A4178E" w:rsidP="00A417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109C3F60" w14:textId="77777777" w:rsidR="00A4178E" w:rsidRPr="00682B78" w:rsidRDefault="00A4178E" w:rsidP="00A417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14:paraId="55380D35" w14:textId="77777777" w:rsidR="00A4178E" w:rsidRPr="00682B78" w:rsidRDefault="00A4178E" w:rsidP="00A417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3E2A8802" w14:textId="625F8C98" w:rsidR="00A4178E" w:rsidRPr="003D59DC" w:rsidRDefault="00A4178E" w:rsidP="00A4178E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People Metrics – attrition, absence</w:t>
            </w:r>
          </w:p>
          <w:p w14:paraId="2BB025D6" w14:textId="77777777" w:rsidR="009E22D0" w:rsidRPr="00B75089" w:rsidRDefault="009E22D0" w:rsidP="008069E7">
            <w:pPr>
              <w:pStyle w:val="ListParagraph"/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DB77FCF" w14:textId="77777777" w:rsidTr="00507F7E">
        <w:trPr>
          <w:trHeight w:val="1265"/>
        </w:trPr>
        <w:tc>
          <w:tcPr>
            <w:tcW w:w="7508" w:type="dxa"/>
          </w:tcPr>
          <w:p w14:paraId="185F1887" w14:textId="77777777" w:rsidR="009E22D0" w:rsidRPr="00B75089" w:rsidRDefault="009E22D0" w:rsidP="008069E7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33CBC8D" w14:textId="77777777" w:rsidR="007F096C" w:rsidRPr="00644BB2" w:rsidRDefault="00644BB2" w:rsidP="008069E7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7F096C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  <w:r w:rsidR="00DC593B" w:rsidRPr="007F0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</w:t>
            </w:r>
          </w:p>
        </w:tc>
        <w:tc>
          <w:tcPr>
            <w:tcW w:w="2979" w:type="dxa"/>
            <w:vAlign w:val="center"/>
          </w:tcPr>
          <w:p w14:paraId="1C1A27F8" w14:textId="77777777" w:rsidR="002D7ABB" w:rsidRPr="002D7ABB" w:rsidRDefault="009E22D0" w:rsidP="00A417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327C1828" w14:textId="77777777" w:rsidR="009E22D0" w:rsidRPr="00B75089" w:rsidRDefault="009E22D0" w:rsidP="00A417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63AF1AC3" w14:textId="77777777" w:rsidR="00FB4711" w:rsidRPr="00F70017" w:rsidRDefault="00FB4711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CF908A5" w14:textId="77777777" w:rsidTr="00AA0FE5">
        <w:trPr>
          <w:trHeight w:val="383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FA2A0A0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6C7E6F63" w14:textId="77777777" w:rsidTr="00496FC6">
        <w:trPr>
          <w:trHeight w:val="1227"/>
        </w:trPr>
        <w:tc>
          <w:tcPr>
            <w:tcW w:w="10490" w:type="dxa"/>
          </w:tcPr>
          <w:p w14:paraId="68CD78B5" w14:textId="6EC319CC" w:rsidR="003D59DC" w:rsidRDefault="003D59DC" w:rsidP="002837F1">
            <w:pPr>
              <w:pStyle w:val="ListParagraph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lastRenderedPageBreak/>
              <w:t>Lead, participate and facilitate completion of relevant businesses cases and briefs to deliver well-constructed marketing literature / campaigns</w:t>
            </w:r>
          </w:p>
          <w:p w14:paraId="4DC1A477" w14:textId="4B8F1C18" w:rsidR="00A4178E" w:rsidRDefault="00A4178E" w:rsidP="002837F1">
            <w:pPr>
              <w:pStyle w:val="ListParagraph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Write and develop comprehensive creative briefs for the internal design team and external agencies</w:t>
            </w:r>
          </w:p>
          <w:p w14:paraId="4C35AC0B" w14:textId="2AC114AF" w:rsidR="00A4178E" w:rsidRDefault="00A4178E" w:rsidP="002837F1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the creative process and implement data-driven acquisition and retention campaigns and strategies, collaborating with colleagues, and external agencies, ensuring projects stay on track</w:t>
            </w:r>
          </w:p>
          <w:p w14:paraId="4C63C75D" w14:textId="77777777" w:rsidR="00A4178E" w:rsidRDefault="00A4178E" w:rsidP="002837F1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marketing collateral development and coordination, in conjunction with our internal design studio and external agencies. </w:t>
            </w:r>
          </w:p>
          <w:p w14:paraId="4C434967" w14:textId="3DED165A" w:rsidR="00A4178E" w:rsidRDefault="00A4178E" w:rsidP="002837F1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573F8">
              <w:rPr>
                <w:rFonts w:ascii="Arial" w:hAnsi="Arial" w:cs="Arial"/>
                <w:sz w:val="20"/>
                <w:szCs w:val="20"/>
              </w:rPr>
              <w:t>Plan and manage mee</w:t>
            </w:r>
            <w:r>
              <w:rPr>
                <w:rFonts w:ascii="Arial" w:hAnsi="Arial" w:cs="Arial"/>
                <w:sz w:val="20"/>
                <w:szCs w:val="20"/>
              </w:rPr>
              <w:t>tings, events, conferences/trade shows, including</w:t>
            </w:r>
            <w:r w:rsidRPr="00C573F8">
              <w:rPr>
                <w:rFonts w:ascii="Arial" w:hAnsi="Arial" w:cs="Arial"/>
                <w:sz w:val="20"/>
                <w:szCs w:val="20"/>
              </w:rPr>
              <w:t xml:space="preserve"> identifying, assembling, and coordinating requir</w:t>
            </w:r>
            <w:r>
              <w:rPr>
                <w:rFonts w:ascii="Arial" w:hAnsi="Arial" w:cs="Arial"/>
                <w:sz w:val="20"/>
                <w:szCs w:val="20"/>
              </w:rPr>
              <w:t xml:space="preserve">ements, maximising sponsorship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opportunities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C2488">
              <w:rPr>
                <w:rFonts w:ascii="Arial" w:hAnsi="Arial" w:cs="Arial"/>
                <w:sz w:val="20"/>
                <w:szCs w:val="20"/>
              </w:rPr>
              <w:t xml:space="preserve">providing briefings and support material </w:t>
            </w:r>
          </w:p>
          <w:p w14:paraId="4B7F50DD" w14:textId="31CAD8C9" w:rsidR="002837F1" w:rsidRPr="002837F1" w:rsidRDefault="002837F1" w:rsidP="002837F1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 with management of digital platforms including,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Wordpress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Active Campaign and social media platforms</w:t>
            </w:r>
          </w:p>
          <w:p w14:paraId="2D9C9EA2" w14:textId="77777777" w:rsidR="009E22D0" w:rsidRPr="00496FC6" w:rsidRDefault="00496FC6" w:rsidP="002837F1">
            <w:pPr>
              <w:pStyle w:val="ListParagraph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</w:t>
            </w:r>
          </w:p>
        </w:tc>
      </w:tr>
    </w:tbl>
    <w:p w14:paraId="49840E31" w14:textId="77777777" w:rsidR="009E22D0" w:rsidRPr="003D59DC" w:rsidRDefault="009E22D0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1C1095DF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6A2156EC" w14:textId="77777777" w:rsidR="005542D1" w:rsidRPr="00B75089" w:rsidRDefault="005542D1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5C7AB2B" w14:textId="77777777" w:rsidTr="00AA0FE5">
        <w:trPr>
          <w:trHeight w:val="277"/>
        </w:trPr>
        <w:tc>
          <w:tcPr>
            <w:tcW w:w="10490" w:type="dxa"/>
          </w:tcPr>
          <w:p w14:paraId="43524256" w14:textId="77777777" w:rsidR="005542D1" w:rsidRPr="00AA0FE5" w:rsidRDefault="00AA0FE5" w:rsidP="008069E7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t>Attendee at relevant Business Readiness meetings for MPS’s strategic initiatives</w:t>
            </w:r>
          </w:p>
        </w:tc>
      </w:tr>
    </w:tbl>
    <w:p w14:paraId="17FE66DE" w14:textId="77777777" w:rsidR="005542D1" w:rsidRPr="00F70017" w:rsidRDefault="005542D1" w:rsidP="008069E7">
      <w:pPr>
        <w:spacing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703"/>
        <w:gridCol w:w="3260"/>
        <w:gridCol w:w="2010"/>
        <w:gridCol w:w="1250"/>
        <w:gridCol w:w="3119"/>
        <w:gridCol w:w="148"/>
      </w:tblGrid>
      <w:tr w:rsidR="002E3BFE" w:rsidRPr="00B75089" w14:paraId="3A44762C" w14:textId="77777777" w:rsidTr="00FC609C">
        <w:trPr>
          <w:gridAfter w:val="1"/>
          <w:wAfter w:w="148" w:type="dxa"/>
          <w:trHeight w:val="525"/>
        </w:trPr>
        <w:tc>
          <w:tcPr>
            <w:tcW w:w="5973" w:type="dxa"/>
            <w:gridSpan w:val="3"/>
            <w:shd w:val="clear" w:color="auto" w:fill="D9D9D9" w:themeFill="background1" w:themeFillShade="D9"/>
            <w:vAlign w:val="center"/>
          </w:tcPr>
          <w:p w14:paraId="15BD08C0" w14:textId="77777777" w:rsidR="002E3BFE" w:rsidRPr="00B75089" w:rsidRDefault="002E3BFE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369" w:type="dxa"/>
            <w:gridSpan w:val="2"/>
            <w:shd w:val="clear" w:color="auto" w:fill="D9D9D9" w:themeFill="background1" w:themeFillShade="D9"/>
            <w:vAlign w:val="center"/>
          </w:tcPr>
          <w:p w14:paraId="100566C6" w14:textId="77777777" w:rsidR="002E3BFE" w:rsidRPr="00AA0FE5" w:rsidRDefault="002E3BFE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2E3BFE" w:rsidRPr="00B75089" w14:paraId="7D954680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F765152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369" w:type="dxa"/>
            <w:gridSpan w:val="2"/>
          </w:tcPr>
          <w:p w14:paraId="291AA0BD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14:paraId="7388699E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2BEA684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369" w:type="dxa"/>
            <w:gridSpan w:val="2"/>
          </w:tcPr>
          <w:p w14:paraId="47070645" w14:textId="3037EB9F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and Others</w:t>
            </w:r>
          </w:p>
        </w:tc>
      </w:tr>
      <w:tr w:rsidR="002E3BFE" w:rsidRPr="00B75089" w14:paraId="12D80300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5348C975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369" w:type="dxa"/>
            <w:gridSpan w:val="2"/>
          </w:tcPr>
          <w:p w14:paraId="2A657F79" w14:textId="6C57045B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3BFE" w:rsidRPr="00B75089" w14:paraId="3700FA5C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03F7D9C4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369" w:type="dxa"/>
            <w:gridSpan w:val="2"/>
          </w:tcPr>
          <w:p w14:paraId="5669E19C" w14:textId="651502B5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and Others</w:t>
            </w:r>
          </w:p>
        </w:tc>
      </w:tr>
      <w:tr w:rsidR="002E3BFE" w:rsidRPr="00B75089" w14:paraId="4CDD50DD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3B916959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369" w:type="dxa"/>
            <w:gridSpan w:val="2"/>
          </w:tcPr>
          <w:p w14:paraId="54835193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14:paraId="142929E9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1740DAB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369" w:type="dxa"/>
            <w:gridSpan w:val="2"/>
          </w:tcPr>
          <w:p w14:paraId="3C3D3BBA" w14:textId="442B722C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and Others</w:t>
            </w:r>
          </w:p>
        </w:tc>
      </w:tr>
      <w:tr w:rsidR="00FC609C" w14:paraId="533F20B6" w14:textId="77777777" w:rsidTr="00FC609C">
        <w:tc>
          <w:tcPr>
            <w:tcW w:w="703" w:type="dxa"/>
            <w:shd w:val="clear" w:color="auto" w:fill="BFBFBF" w:themeFill="background1" w:themeFillShade="BF"/>
          </w:tcPr>
          <w:p w14:paraId="4CC46327" w14:textId="77777777" w:rsidR="00FC609C" w:rsidRDefault="00FC609C" w:rsidP="00F70017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251CA02B" w14:textId="4E206E55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14:paraId="563952A8" w14:textId="59391021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7024EA58" w14:textId="42BD16E1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</w:tr>
      <w:tr w:rsidR="00FC609C" w14:paraId="45CC8147" w14:textId="77777777" w:rsidTr="00FC609C">
        <w:trPr>
          <w:cantSplit/>
          <w:trHeight w:val="1134"/>
        </w:trPr>
        <w:tc>
          <w:tcPr>
            <w:tcW w:w="703" w:type="dxa"/>
            <w:shd w:val="clear" w:color="auto" w:fill="BFBFBF" w:themeFill="background1" w:themeFillShade="BF"/>
            <w:textDirection w:val="btLr"/>
          </w:tcPr>
          <w:p w14:paraId="37D6D1F1" w14:textId="69933089" w:rsidR="00FC609C" w:rsidRPr="00FC609C" w:rsidRDefault="00FC609C" w:rsidP="00FC609C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60" w:type="dxa"/>
          </w:tcPr>
          <w:p w14:paraId="157DD618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Sound knowledge of marketing and marketing communications planning</w:t>
            </w:r>
          </w:p>
          <w:p w14:paraId="178B215A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Sound knowledge of campaign delivery and development processes</w:t>
            </w:r>
          </w:p>
          <w:p w14:paraId="4F8B29E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marketing strategy development</w:t>
            </w:r>
          </w:p>
          <w:p w14:paraId="28D24859" w14:textId="77777777" w:rsidR="00FC609C" w:rsidRPr="00F70017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Proven marketing experience</w:t>
            </w:r>
          </w:p>
          <w:p w14:paraId="4740CCA3" w14:textId="77777777" w:rsidR="00FC609C" w:rsidRDefault="00FC609C" w:rsidP="00FC609C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14:paraId="4B57966B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5D24">
              <w:rPr>
                <w:rFonts w:ascii="Arial" w:eastAsia="Calibri" w:hAnsi="Arial" w:cs="Arial"/>
                <w:sz w:val="20"/>
                <w:szCs w:val="20"/>
              </w:rPr>
              <w:t>Ability to translate strategy into actionable marketing and campaign plans</w:t>
            </w:r>
          </w:p>
          <w:p w14:paraId="7A327191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Familiar with developing annual marketing plans to drive acquisition, engagement and retention</w:t>
            </w:r>
          </w:p>
          <w:p w14:paraId="7C3BBAB0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Able to</w:t>
            </w:r>
            <w:r w:rsidRPr="00CB5D24">
              <w:rPr>
                <w:rFonts w:ascii="Arial" w:eastAsia="Calibri" w:hAnsi="Arial" w:cs="Arial"/>
                <w:sz w:val="20"/>
                <w:szCs w:val="20"/>
              </w:rPr>
              <w:t xml:space="preserve"> execute campaigns at a strategic level as well as day-to-day implementation</w:t>
            </w:r>
          </w:p>
          <w:p w14:paraId="1A75EB40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track results and effectiveness and develop solutions to overcome challenges and underperformance</w:t>
            </w:r>
          </w:p>
          <w:p w14:paraId="38CEACB9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judge copy and creative objectively</w:t>
            </w:r>
          </w:p>
          <w:p w14:paraId="6BC51111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report analyse and provide appropriate commentary on campaign performance metrics</w:t>
            </w:r>
          </w:p>
          <w:p w14:paraId="1BF76B00" w14:textId="77777777" w:rsidR="00FC609C" w:rsidRDefault="00FC609C" w:rsidP="00FC609C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172FA8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/ B2B (if applicable) 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>marketing experience</w:t>
            </w:r>
          </w:p>
          <w:p w14:paraId="5300B40D" w14:textId="77777777" w:rsidR="00FC609C" w:rsidRPr="000156A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Proven experience in delivering effective marketing </w:t>
            </w:r>
            <w:r>
              <w:rPr>
                <w:rFonts w:ascii="Arial" w:eastAsia="Calibri" w:hAnsi="Arial" w:cs="Arial"/>
                <w:sz w:val="20"/>
                <w:szCs w:val="20"/>
              </w:rPr>
              <w:t>plans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 with a strong understanding of </w:t>
            </w:r>
            <w:r>
              <w:rPr>
                <w:rFonts w:ascii="Arial" w:eastAsia="Calibri" w:hAnsi="Arial" w:cs="Arial"/>
                <w:sz w:val="20"/>
                <w:szCs w:val="20"/>
              </w:rPr>
              <w:t>marketing techniques and tools across all mediums</w:t>
            </w:r>
          </w:p>
          <w:p w14:paraId="5D082F5D" w14:textId="77777777" w:rsidR="00FC609C" w:rsidRPr="000156A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156AE">
              <w:rPr>
                <w:rFonts w:ascii="Arial" w:eastAsia="Calibri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eastAsia="Calibri" w:hAnsi="Arial" w:cs="Arial"/>
                <w:sz w:val="20"/>
                <w:szCs w:val="20"/>
              </w:rPr>
              <w:t>implementing</w:t>
            </w:r>
            <w:r w:rsidRPr="000156AE">
              <w:rPr>
                <w:rFonts w:ascii="Arial" w:eastAsia="Calibri" w:hAnsi="Arial" w:cs="Arial"/>
                <w:sz w:val="20"/>
                <w:szCs w:val="20"/>
              </w:rPr>
              <w:t xml:space="preserve"> multi-channel, multi-country campaigns </w:t>
            </w:r>
          </w:p>
          <w:p w14:paraId="1E0DD80E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E3BFE">
              <w:rPr>
                <w:rFonts w:ascii="Arial" w:eastAsia="Calibri" w:hAnsi="Arial" w:cs="Arial"/>
                <w:sz w:val="20"/>
                <w:szCs w:val="20"/>
              </w:rPr>
              <w:t xml:space="preserve">Experience of marketing campaign effectiveness measures </w:t>
            </w:r>
          </w:p>
          <w:p w14:paraId="14265FB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using insight to drive action in marketing plan development</w:t>
            </w:r>
          </w:p>
          <w:p w14:paraId="63DB0B8D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/ understanding of digital campaigns and social media</w:t>
            </w:r>
          </w:p>
          <w:p w14:paraId="7DD0940C" w14:textId="393FE904" w:rsidR="00FC609C" w:rsidRP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C609C">
              <w:rPr>
                <w:rFonts w:ascii="Arial" w:eastAsia="Calibri" w:hAnsi="Arial" w:cs="Arial"/>
                <w:sz w:val="20"/>
                <w:szCs w:val="20"/>
              </w:rPr>
              <w:t>Experience writing campaign briefs and plans</w:t>
            </w:r>
          </w:p>
        </w:tc>
      </w:tr>
      <w:tr w:rsidR="00FC609C" w14:paraId="2D08F08E" w14:textId="77777777" w:rsidTr="00FC609C">
        <w:trPr>
          <w:cantSplit/>
          <w:trHeight w:val="1134"/>
        </w:trPr>
        <w:tc>
          <w:tcPr>
            <w:tcW w:w="703" w:type="dxa"/>
            <w:shd w:val="clear" w:color="auto" w:fill="BFBFBF" w:themeFill="background1" w:themeFillShade="BF"/>
            <w:textDirection w:val="btLr"/>
          </w:tcPr>
          <w:p w14:paraId="2F1A1858" w14:textId="01C740A6" w:rsidR="00FC609C" w:rsidRPr="00FC609C" w:rsidRDefault="00FC609C" w:rsidP="00FC609C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3260" w:type="dxa"/>
          </w:tcPr>
          <w:p w14:paraId="706BF8B9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4CF3">
              <w:rPr>
                <w:rFonts w:ascii="Arial" w:eastAsia="Calibri" w:hAnsi="Arial" w:cs="Arial"/>
                <w:sz w:val="20"/>
                <w:szCs w:val="20"/>
              </w:rPr>
              <w:t>CIM diploma or equivalent</w:t>
            </w:r>
          </w:p>
          <w:p w14:paraId="1724BD51" w14:textId="77777777" w:rsidR="00FC609C" w:rsidRDefault="00FC609C" w:rsidP="00FC609C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777F7BA1" w14:textId="77777777" w:rsidR="00FC609C" w:rsidRPr="002837F1" w:rsidRDefault="00FC609C" w:rsidP="002837F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080C92CC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content marketing</w:t>
            </w:r>
          </w:p>
          <w:p w14:paraId="28D5A8C1" w14:textId="77777777" w:rsidR="002837F1" w:rsidRDefault="002837F1" w:rsidP="002837F1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Previous experience in financial service or related organisations</w:t>
            </w:r>
          </w:p>
          <w:p w14:paraId="70B6B9F5" w14:textId="52F9B20A" w:rsidR="00FC609C" w:rsidRDefault="00FC609C" w:rsidP="00697074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8BB0696" w14:textId="77777777" w:rsidR="00F70017" w:rsidRDefault="00F70017" w:rsidP="00F7001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7DD410C3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4B941315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AACF6F5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288ABED1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6DC71909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A18688E" w14:textId="77777777" w:rsidR="002E3BFE" w:rsidRPr="003D59DC" w:rsidRDefault="002E3BFE" w:rsidP="008069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56FD3D8" w14:textId="77777777" w:rsidR="0056188D" w:rsidRPr="00B75089" w:rsidRDefault="0056188D" w:rsidP="008069E7">
      <w:pPr>
        <w:spacing w:line="240" w:lineRule="auto"/>
        <w:jc w:val="both"/>
        <w:rPr>
          <w:rFonts w:ascii="Arial" w:hAnsi="Arial" w:cs="Arial"/>
        </w:rPr>
      </w:pPr>
    </w:p>
    <w:sectPr w:rsidR="0056188D" w:rsidRPr="00B75089" w:rsidSect="00787C2D">
      <w:headerReference w:type="default" r:id="rId8"/>
      <w:footerReference w:type="default" r:id="rId9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DD5DC" w14:textId="77777777" w:rsidR="009E22D0" w:rsidRDefault="009E22D0" w:rsidP="009E22D0">
      <w:pPr>
        <w:spacing w:after="0" w:line="240" w:lineRule="auto"/>
      </w:pPr>
      <w:r>
        <w:separator/>
      </w:r>
    </w:p>
  </w:endnote>
  <w:endnote w:type="continuationSeparator" w:id="0">
    <w:p w14:paraId="6F046C7E" w14:textId="77777777" w:rsidR="009E22D0" w:rsidRDefault="009E22D0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930C5A0" w14:textId="77777777" w:rsidR="00A84813" w:rsidRDefault="00A84813" w:rsidP="00A84813">
        <w:pPr>
          <w:tabs>
            <w:tab w:val="center" w:pos="4513"/>
            <w:tab w:val="right" w:pos="9026"/>
          </w:tabs>
          <w:spacing w:after="0" w:line="240" w:lineRule="auto"/>
        </w:pPr>
      </w:p>
      <w:sdt>
        <w:sdtPr>
          <w:id w:val="-436834407"/>
          <w:docPartObj>
            <w:docPartGallery w:val="Page Numbers (Bottom of Page)"/>
            <w:docPartUnique/>
          </w:docPartObj>
        </w:sdtPr>
        <w:sdtEndPr>
          <w:rPr>
            <w:noProof/>
            <w:sz w:val="16"/>
            <w:szCs w:val="16"/>
          </w:rPr>
        </w:sdtEndPr>
        <w:sdtContent>
          <w:p w14:paraId="4F1A4711" w14:textId="77777777" w:rsidR="00A84813" w:rsidRPr="00AD458B" w:rsidRDefault="00A84813" w:rsidP="00A8481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 xml:space="preserve">Date Developed:          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>June 2019</w:t>
            </w:r>
          </w:p>
          <w:p w14:paraId="3E253D01" w14:textId="29C82031" w:rsidR="00A84813" w:rsidRPr="00AD458B" w:rsidRDefault="00A84813" w:rsidP="00A8481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 xml:space="preserve">Date of last review:       </w:t>
            </w:r>
            <w:r w:rsidR="008F2B12">
              <w:rPr>
                <w:rFonts w:ascii="Arial" w:eastAsiaTheme="minorHAnsi" w:hAnsi="Arial" w:cs="Arial"/>
                <w:sz w:val="16"/>
                <w:lang w:eastAsia="en-US"/>
              </w:rPr>
              <w:t>September 2021</w:t>
            </w:r>
          </w:p>
          <w:p w14:paraId="35A2236F" w14:textId="1A559DCA" w:rsidR="00A84813" w:rsidRDefault="00A84813" w:rsidP="00A84813">
            <w:pPr>
              <w:pStyle w:val="Footer"/>
              <w:rPr>
                <w:noProof/>
                <w:sz w:val="16"/>
                <w:szCs w:val="16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>Date o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 xml:space="preserve">f next review:      </w:t>
            </w:r>
            <w:r w:rsidR="008F2B12">
              <w:rPr>
                <w:rFonts w:ascii="Arial" w:eastAsiaTheme="minorHAnsi" w:hAnsi="Arial" w:cs="Arial"/>
                <w:sz w:val="16"/>
                <w:lang w:eastAsia="en-US"/>
              </w:rPr>
              <w:t>September 2022</w:t>
            </w:r>
          </w:p>
        </w:sdtContent>
      </w:sdt>
      <w:p w14:paraId="28362B86" w14:textId="4393A1AB" w:rsidR="00787C2D" w:rsidRPr="00787C2D" w:rsidRDefault="00A84813" w:rsidP="00A84813">
        <w:pPr>
          <w:pStyle w:val="Footer"/>
          <w:jc w:val="right"/>
          <w:rPr>
            <w:sz w:val="16"/>
            <w:szCs w:val="16"/>
          </w:rPr>
        </w:pPr>
        <w:r w:rsidRPr="00787C2D">
          <w:rPr>
            <w:sz w:val="16"/>
            <w:szCs w:val="16"/>
          </w:rPr>
          <w:t xml:space="preserve"> </w:t>
        </w:r>
        <w:r w:rsidR="00787C2D" w:rsidRPr="00787C2D">
          <w:rPr>
            <w:sz w:val="16"/>
            <w:szCs w:val="16"/>
          </w:rPr>
          <w:fldChar w:fldCharType="begin"/>
        </w:r>
        <w:r w:rsidR="00787C2D" w:rsidRPr="00787C2D">
          <w:rPr>
            <w:sz w:val="16"/>
            <w:szCs w:val="16"/>
          </w:rPr>
          <w:instrText xml:space="preserve"> PAGE   \* MERGEFORMAT </w:instrText>
        </w:r>
        <w:r w:rsidR="00787C2D" w:rsidRPr="00787C2D">
          <w:rPr>
            <w:sz w:val="16"/>
            <w:szCs w:val="16"/>
          </w:rPr>
          <w:fldChar w:fldCharType="separate"/>
        </w:r>
        <w:r w:rsidR="007D1ED6">
          <w:rPr>
            <w:noProof/>
            <w:sz w:val="16"/>
            <w:szCs w:val="16"/>
          </w:rPr>
          <w:t>3</w:t>
        </w:r>
        <w:r w:rsidR="00787C2D" w:rsidRPr="00787C2D">
          <w:rPr>
            <w:noProof/>
            <w:sz w:val="16"/>
            <w:szCs w:val="16"/>
          </w:rPr>
          <w:fldChar w:fldCharType="end"/>
        </w:r>
      </w:p>
    </w:sdtContent>
  </w:sdt>
  <w:p w14:paraId="4130711F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EF185" w14:textId="77777777" w:rsidR="009E22D0" w:rsidRDefault="009E22D0" w:rsidP="009E22D0">
      <w:pPr>
        <w:spacing w:after="0" w:line="240" w:lineRule="auto"/>
      </w:pPr>
      <w:r>
        <w:separator/>
      </w:r>
    </w:p>
  </w:footnote>
  <w:footnote w:type="continuationSeparator" w:id="0">
    <w:p w14:paraId="0AB6B856" w14:textId="77777777" w:rsidR="009E22D0" w:rsidRDefault="009E22D0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4FE0E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  <w:lang w:val="en-AU" w:eastAsia="en-AU"/>
      </w:rPr>
      <w:drawing>
        <wp:inline distT="0" distB="0" distL="0" distR="0" wp14:anchorId="09542A81" wp14:editId="7CEF422B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222AF"/>
    <w:multiLevelType w:val="hybridMultilevel"/>
    <w:tmpl w:val="8996C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B5B60"/>
    <w:multiLevelType w:val="hybridMultilevel"/>
    <w:tmpl w:val="5F547B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D1882"/>
    <w:multiLevelType w:val="hybridMultilevel"/>
    <w:tmpl w:val="5EF44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30670"/>
    <w:multiLevelType w:val="hybridMultilevel"/>
    <w:tmpl w:val="4BCE8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16"/>
  </w:num>
  <w:num w:numId="8">
    <w:abstractNumId w:val="26"/>
  </w:num>
  <w:num w:numId="9">
    <w:abstractNumId w:val="27"/>
  </w:num>
  <w:num w:numId="10">
    <w:abstractNumId w:val="21"/>
  </w:num>
  <w:num w:numId="11">
    <w:abstractNumId w:val="4"/>
  </w:num>
  <w:num w:numId="12">
    <w:abstractNumId w:val="22"/>
  </w:num>
  <w:num w:numId="13">
    <w:abstractNumId w:val="18"/>
  </w:num>
  <w:num w:numId="14">
    <w:abstractNumId w:val="19"/>
  </w:num>
  <w:num w:numId="15">
    <w:abstractNumId w:val="15"/>
  </w:num>
  <w:num w:numId="16">
    <w:abstractNumId w:val="10"/>
  </w:num>
  <w:num w:numId="17">
    <w:abstractNumId w:val="24"/>
  </w:num>
  <w:num w:numId="18">
    <w:abstractNumId w:val="1"/>
  </w:num>
  <w:num w:numId="19">
    <w:abstractNumId w:val="5"/>
  </w:num>
  <w:num w:numId="20">
    <w:abstractNumId w:val="13"/>
  </w:num>
  <w:num w:numId="21">
    <w:abstractNumId w:val="17"/>
  </w:num>
  <w:num w:numId="22">
    <w:abstractNumId w:val="28"/>
  </w:num>
  <w:num w:numId="23">
    <w:abstractNumId w:val="25"/>
  </w:num>
  <w:num w:numId="24">
    <w:abstractNumId w:val="14"/>
  </w:num>
  <w:num w:numId="25">
    <w:abstractNumId w:val="2"/>
  </w:num>
  <w:num w:numId="26">
    <w:abstractNumId w:val="23"/>
  </w:num>
  <w:num w:numId="27">
    <w:abstractNumId w:val="7"/>
  </w:num>
  <w:num w:numId="28">
    <w:abstractNumId w:val="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220B"/>
    <w:rsid w:val="000156AE"/>
    <w:rsid w:val="000210EA"/>
    <w:rsid w:val="000565E7"/>
    <w:rsid w:val="00082F60"/>
    <w:rsid w:val="000E4361"/>
    <w:rsid w:val="002412D8"/>
    <w:rsid w:val="002640B5"/>
    <w:rsid w:val="002837F1"/>
    <w:rsid w:val="002B557F"/>
    <w:rsid w:val="002D7ABB"/>
    <w:rsid w:val="002E3BFE"/>
    <w:rsid w:val="00306334"/>
    <w:rsid w:val="003D59DC"/>
    <w:rsid w:val="004546C1"/>
    <w:rsid w:val="004666DB"/>
    <w:rsid w:val="00496FC6"/>
    <w:rsid w:val="004B2511"/>
    <w:rsid w:val="004B290F"/>
    <w:rsid w:val="004C0A44"/>
    <w:rsid w:val="004D18E8"/>
    <w:rsid w:val="004D2E1D"/>
    <w:rsid w:val="004F1FB3"/>
    <w:rsid w:val="00507F7E"/>
    <w:rsid w:val="00534CF3"/>
    <w:rsid w:val="00545D3C"/>
    <w:rsid w:val="005542D1"/>
    <w:rsid w:val="0056188D"/>
    <w:rsid w:val="005C1E4D"/>
    <w:rsid w:val="006219B1"/>
    <w:rsid w:val="00644BB2"/>
    <w:rsid w:val="00666EB3"/>
    <w:rsid w:val="00697074"/>
    <w:rsid w:val="00711E46"/>
    <w:rsid w:val="00717094"/>
    <w:rsid w:val="00787C2D"/>
    <w:rsid w:val="007A0593"/>
    <w:rsid w:val="007C3365"/>
    <w:rsid w:val="007D1ED6"/>
    <w:rsid w:val="007E7CA1"/>
    <w:rsid w:val="007F096C"/>
    <w:rsid w:val="008069E7"/>
    <w:rsid w:val="00813AEB"/>
    <w:rsid w:val="008F2B12"/>
    <w:rsid w:val="00905089"/>
    <w:rsid w:val="00912FBA"/>
    <w:rsid w:val="009A7F00"/>
    <w:rsid w:val="009E22D0"/>
    <w:rsid w:val="00A34F44"/>
    <w:rsid w:val="00A4178E"/>
    <w:rsid w:val="00A4414A"/>
    <w:rsid w:val="00A84813"/>
    <w:rsid w:val="00AA0FE5"/>
    <w:rsid w:val="00AD34A1"/>
    <w:rsid w:val="00B75089"/>
    <w:rsid w:val="00B978A6"/>
    <w:rsid w:val="00BC15D2"/>
    <w:rsid w:val="00BE6AF0"/>
    <w:rsid w:val="00C03ACC"/>
    <w:rsid w:val="00C32411"/>
    <w:rsid w:val="00C874F8"/>
    <w:rsid w:val="00C91CFA"/>
    <w:rsid w:val="00CB5D24"/>
    <w:rsid w:val="00CE4995"/>
    <w:rsid w:val="00D83225"/>
    <w:rsid w:val="00D84FA2"/>
    <w:rsid w:val="00DC593B"/>
    <w:rsid w:val="00DF1AB3"/>
    <w:rsid w:val="00E40AC5"/>
    <w:rsid w:val="00E95465"/>
    <w:rsid w:val="00EB322B"/>
    <w:rsid w:val="00F442C5"/>
    <w:rsid w:val="00F5319A"/>
    <w:rsid w:val="00F62255"/>
    <w:rsid w:val="00F70017"/>
    <w:rsid w:val="00F94B7F"/>
    <w:rsid w:val="00FB4711"/>
    <w:rsid w:val="00FC609C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D86102D"/>
  <w15:docId w15:val="{939D16BA-2372-4A42-BDA0-99CFA786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6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6D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6DB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75F4701F-F659-43A6-9D0E-51FABB2DFDA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1225</Words>
  <Characters>7308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Kate</cp:lastModifiedBy>
  <cp:revision>2</cp:revision>
  <dcterms:created xsi:type="dcterms:W3CDTF">2021-09-16T13:50:00Z</dcterms:created>
  <dcterms:modified xsi:type="dcterms:W3CDTF">2021-09-16T13:50:00Z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7be4ad60-246b-4305-9522-876886c120fe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