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31073947" w14:textId="77777777" w:rsidTr="00161CFA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08B3F39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7A955779" w14:textId="77777777" w:rsidR="00F5319A" w:rsidRPr="00B75089" w:rsidRDefault="00C028B9" w:rsidP="00D44A4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Litigation </w:t>
            </w:r>
            <w:r w:rsidR="00D44A4F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B8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7D43E724" w14:textId="77777777" w:rsidR="00F5319A" w:rsidRPr="00B75089" w:rsidRDefault="00D44A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– Legal Assistants</w:t>
            </w:r>
          </w:p>
        </w:tc>
      </w:tr>
      <w:tr w:rsidR="00F5319A" w:rsidRPr="00B75089" w14:paraId="02F0BF2B" w14:textId="77777777" w:rsidTr="00161CFA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7D2D338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4A1EC0F9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Protection &amp; Support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DDDEE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2BD4AF1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A040E" w:rsidRPr="00B75089" w14:paraId="7512FB33" w14:textId="77777777" w:rsidTr="00161CFA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E29043" w14:textId="77777777" w:rsidR="00FA040E" w:rsidRPr="00B75089" w:rsidRDefault="00FA040E" w:rsidP="00FA040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56C54AA9" w14:textId="77777777" w:rsidR="00FA040E" w:rsidRPr="009A1CC0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9CE0A96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90A7D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5E9429C3" w14:textId="7F771461" w:rsidR="00FA040E" w:rsidRPr="00B75089" w:rsidRDefault="00FA040E" w:rsidP="00FA040E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</w:t>
            </w:r>
            <w:r w:rsidR="001364B0">
              <w:rPr>
                <w:rFonts w:ascii="Arial" w:hAnsi="Arial" w:cs="Arial"/>
              </w:rPr>
              <w:t xml:space="preserve">assistance </w:t>
            </w:r>
            <w:r w:rsidRPr="001702AD">
              <w:rPr>
                <w:rFonts w:ascii="Arial" w:hAnsi="Arial" w:cs="Arial"/>
              </w:rPr>
              <w:t xml:space="preserve">to members </w:t>
            </w:r>
            <w:r w:rsidR="001364B0">
              <w:rPr>
                <w:rFonts w:ascii="Arial" w:hAnsi="Arial" w:cs="Arial"/>
              </w:rPr>
              <w:t>in the defence of litigated clinical negligence claims</w:t>
            </w:r>
          </w:p>
        </w:tc>
      </w:tr>
      <w:tr w:rsidR="00FA040E" w:rsidRPr="00B75089" w14:paraId="706C0BC9" w14:textId="77777777" w:rsidTr="00161CFA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43BB9CD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3EB6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7B9B79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190859DC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040E" w:rsidRPr="00B75089" w14:paraId="5E8DFFA8" w14:textId="77777777" w:rsidTr="00161CFA">
        <w:trPr>
          <w:trHeight w:val="385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C0D0711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50A7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004C3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4252" w:type="dxa"/>
          </w:tcPr>
          <w:p w14:paraId="78793FB5" w14:textId="77777777" w:rsidR="00FA040E" w:rsidRPr="00C33FDC" w:rsidRDefault="00FA040E" w:rsidP="00FA040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040E" w:rsidRPr="00B75089" w14:paraId="7D96D52D" w14:textId="77777777" w:rsidTr="00161CFA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0895C872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75376CEA" w14:textId="201725F9" w:rsidR="00FA040E" w:rsidRPr="00B75089" w:rsidRDefault="00CC37B0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Core, Level 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5A535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263C97C3" w14:textId="0A3B8B4D" w:rsidR="00FA040E" w:rsidRPr="00B75089" w:rsidRDefault="00CC37B0" w:rsidP="00FA040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  <w:bookmarkStart w:id="0" w:name="_GoBack"/>
            <w:bookmarkEnd w:id="0"/>
          </w:p>
        </w:tc>
      </w:tr>
    </w:tbl>
    <w:p w14:paraId="1E7D082D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C23D91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DAF5E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B92A0E3" w14:textId="77777777" w:rsidTr="00161CFA">
        <w:trPr>
          <w:trHeight w:val="938"/>
        </w:trPr>
        <w:tc>
          <w:tcPr>
            <w:tcW w:w="10509" w:type="dxa"/>
          </w:tcPr>
          <w:p w14:paraId="35C0ABFC" w14:textId="77777777" w:rsidR="003F557C" w:rsidRPr="006D7670" w:rsidRDefault="003F557C" w:rsidP="00161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Protection 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and Support Division is at the forefront of protecting the careers, reputation and financial risk of our members worldwide. 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E0AB8">
              <w:rPr>
                <w:rFonts w:ascii="Arial" w:hAnsi="Arial" w:cs="Arial"/>
                <w:sz w:val="20"/>
                <w:szCs w:val="20"/>
              </w:rPr>
              <w:t>support the Litigation Solicitors in the provision of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excellent legal services for members, consisting primarily in the defence of litigated clinical negligence claims, which is 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6E0AB8">
              <w:rPr>
                <w:rFonts w:ascii="Arial" w:hAnsi="Arial" w:cs="Arial"/>
                <w:sz w:val="20"/>
                <w:szCs w:val="20"/>
              </w:rPr>
              <w:t>and provides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6E0AB8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0333031A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5237471A" w14:textId="77777777" w:rsidTr="00161CFA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570ABFB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26A471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6117542" w14:textId="77777777" w:rsidTr="00161CFA">
        <w:trPr>
          <w:trHeight w:val="578"/>
        </w:trPr>
        <w:tc>
          <w:tcPr>
            <w:tcW w:w="7196" w:type="dxa"/>
          </w:tcPr>
          <w:p w14:paraId="2DAF9E4B" w14:textId="77777777" w:rsidR="0056188D" w:rsidRPr="00644BB2" w:rsidRDefault="00DB6EE0" w:rsidP="00161C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455861A9" w14:textId="77777777" w:rsidR="00533268" w:rsidRPr="00C456A8" w:rsidRDefault="00533268" w:rsidP="00161CF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MP&amp;S strategy and contribute to the development and delivery of the Legal Services strategy to plan, cost and quality</w:t>
            </w:r>
          </w:p>
          <w:p w14:paraId="6AA775FF" w14:textId="77777777" w:rsidR="00143AC6" w:rsidRPr="00161CFA" w:rsidRDefault="006E0AB8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143AC6">
              <w:rPr>
                <w:rFonts w:ascii="Arial" w:hAnsi="Arial" w:cs="Arial"/>
                <w:sz w:val="20"/>
                <w:szCs w:val="20"/>
              </w:rPr>
              <w:t>litigat</w:t>
            </w:r>
            <w:r>
              <w:rPr>
                <w:rFonts w:ascii="Arial" w:hAnsi="Arial" w:cs="Arial"/>
                <w:sz w:val="20"/>
                <w:szCs w:val="20"/>
              </w:rPr>
              <w:t xml:space="preserve">ion solicitors with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clinical negligence claims from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service of proceedings </w:t>
            </w:r>
            <w:r w:rsidR="002D6C35">
              <w:rPr>
                <w:rFonts w:ascii="Arial" w:hAnsi="Arial" w:cs="Arial"/>
                <w:sz w:val="20"/>
                <w:szCs w:val="20"/>
              </w:rPr>
              <w:t>to resolution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in accordance with the Clinical Disputes Protocol/Civil Procedure Rules</w:t>
            </w:r>
            <w:r w:rsidR="002D6C35">
              <w:rPr>
                <w:rFonts w:ascii="Arial" w:hAnsi="Arial" w:cs="Arial"/>
                <w:sz w:val="20"/>
                <w:szCs w:val="20"/>
              </w:rPr>
              <w:t>,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and ensure fair outcomes for members, the membership fund and compliance with </w:t>
            </w:r>
            <w:r w:rsidR="002D6C35">
              <w:rPr>
                <w:rFonts w:ascii="Arial" w:hAnsi="Arial" w:cs="Arial"/>
                <w:sz w:val="20"/>
                <w:szCs w:val="20"/>
              </w:rPr>
              <w:t>internal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5669D2A" w14:textId="77777777" w:rsidR="003A2452" w:rsidRPr="00161CFA" w:rsidRDefault="00D40F96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3CA832D1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BB25E9C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4E4429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3DC66DC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1963005B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7D9F687C" w14:textId="77777777" w:rsidTr="00161CFA">
        <w:trPr>
          <w:trHeight w:val="1658"/>
        </w:trPr>
        <w:tc>
          <w:tcPr>
            <w:tcW w:w="7196" w:type="dxa"/>
          </w:tcPr>
          <w:p w14:paraId="66CC226A" w14:textId="77777777" w:rsidR="009E22D0" w:rsidRPr="00644BB2" w:rsidRDefault="009E22D0" w:rsidP="00161C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0513A9D" w14:textId="535FBDB4" w:rsidR="009E22D0" w:rsidRPr="002C15A2" w:rsidRDefault="006E0AB8" w:rsidP="002C15A2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minimisation of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all spend incurred serving 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 xml:space="preserve">members 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in relation to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 external spend; 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claimant and defence c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osts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>, d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amages</w:t>
            </w:r>
            <w:r w:rsidR="002D6C35" w:rsidRPr="002C15A2">
              <w:rPr>
                <w:rFonts w:ascii="Arial" w:eastAsia="Calibri" w:hAnsi="Arial" w:cs="Arial"/>
                <w:sz w:val="20"/>
                <w:szCs w:val="20"/>
              </w:rPr>
              <w:t>, apportionment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 xml:space="preserve"> issues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personal expenditure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117979" w14:textId="293C79C3" w:rsidR="00F70694" w:rsidRPr="002C15A2" w:rsidRDefault="00533268" w:rsidP="002C15A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9B386E" w:rsidRPr="002C15A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  <w:p w14:paraId="4156DFEB" w14:textId="4D25EFFC" w:rsidR="00F70694" w:rsidRDefault="00F70694" w:rsidP="002C15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Minimise case costs through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proactively managing estimates, challenging costs and invoices from all third part</w:t>
            </w:r>
            <w:r w:rsidR="00C469D1">
              <w:rPr>
                <w:rFonts w:ascii="Arial" w:hAnsi="Arial" w:cs="Arial"/>
                <w:sz w:val="20"/>
                <w:szCs w:val="20"/>
              </w:rPr>
              <w:t>ies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42676A" w14:textId="479F323B" w:rsidR="00C469D1" w:rsidRPr="00C469D1" w:rsidRDefault="00C469D1" w:rsidP="00C469D1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98600D6" w14:textId="77777777" w:rsidR="00644BB2" w:rsidRPr="00644BB2" w:rsidRDefault="00644BB2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DAD57A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1A3C8AF4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1FAB801E" w14:textId="77777777" w:rsidR="009E22D0" w:rsidRPr="00D42991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115ED1B3" w14:textId="77777777" w:rsidR="009E22D0" w:rsidRPr="00DB6EE0" w:rsidRDefault="00D42991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02C34C9D" w14:textId="77777777" w:rsidTr="00161CFA">
        <w:trPr>
          <w:trHeight w:val="3498"/>
        </w:trPr>
        <w:tc>
          <w:tcPr>
            <w:tcW w:w="7196" w:type="dxa"/>
          </w:tcPr>
          <w:p w14:paraId="6778608B" w14:textId="77777777" w:rsidR="009E22D0" w:rsidRDefault="009E22D0" w:rsidP="00161C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1CAC4F" w14:textId="0A824A60" w:rsidR="00980520" w:rsidRPr="008F4BBC" w:rsidRDefault="00980520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 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370B172F" w14:textId="77777777" w:rsidR="00533268" w:rsidRDefault="0053326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8540AA" w14:textId="77777777" w:rsidR="009C58E3" w:rsidRDefault="006E0AB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>Support the litigation solicitors to deliver</w:t>
            </w:r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</w:t>
            </w:r>
          </w:p>
          <w:p w14:paraId="760E8462" w14:textId="77777777" w:rsidR="006E0AB8" w:rsidRPr="009C58E3" w:rsidRDefault="0066369A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</w:t>
            </w:r>
          </w:p>
          <w:p w14:paraId="25F9A082" w14:textId="77777777" w:rsidR="009E22D0" w:rsidRPr="00944EE0" w:rsidRDefault="0066369A" w:rsidP="00161CFA">
            <w:pPr>
              <w:pStyle w:val="ListParagraph"/>
              <w:ind w:left="142"/>
            </w:pPr>
            <w:r w:rsidRPr="006E0A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14:paraId="748F6D45" w14:textId="77777777" w:rsidR="009E22D0" w:rsidRDefault="00644BB2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D5FEC4C" w14:textId="77777777" w:rsidR="006A4C6D" w:rsidRDefault="005C41F3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23F8FFBF" w14:textId="77777777" w:rsidR="00944EE0" w:rsidRDefault="00944EE0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2277F797" w14:textId="77777777" w:rsidR="0066369A" w:rsidRPr="009317A0" w:rsidRDefault="00787B5B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20DFB" w14:textId="77777777" w:rsid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1FBF43E2" w14:textId="77777777" w:rsidR="0066369A" w:rsidRPr="009317A0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79BE595" w14:textId="77777777" w:rsidR="0066369A" w:rsidRPr="00161CFA" w:rsidRDefault="0066369A" w:rsidP="00161CFA">
            <w:pPr>
              <w:spacing w:after="0"/>
            </w:pPr>
          </w:p>
        </w:tc>
      </w:tr>
      <w:tr w:rsidR="009E22D0" w:rsidRPr="00B75089" w14:paraId="1CD2D772" w14:textId="77777777" w:rsidTr="00161CFA">
        <w:trPr>
          <w:trHeight w:val="591"/>
        </w:trPr>
        <w:tc>
          <w:tcPr>
            <w:tcW w:w="7196" w:type="dxa"/>
          </w:tcPr>
          <w:p w14:paraId="195EE174" w14:textId="77777777" w:rsidR="009E22D0" w:rsidRPr="00B75089" w:rsidRDefault="009E22D0" w:rsidP="00161C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67FBDE61" w14:textId="7B722578" w:rsidR="00850C98" w:rsidRDefault="00644BB2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16136D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448F2BC5" w14:textId="77777777" w:rsidR="0066369A" w:rsidRP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38EFA0F" w14:textId="77777777" w:rsidR="00AD1EB4" w:rsidRPr="00850C98" w:rsidRDefault="00AD1EB4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</w:t>
            </w:r>
            <w:r w:rsidR="008A55FE">
              <w:rPr>
                <w:rFonts w:ascii="Arial" w:hAnsi="Arial" w:cs="Arial"/>
                <w:sz w:val="20"/>
                <w:szCs w:val="20"/>
              </w:rPr>
              <w:t xml:space="preserve"> (members, experts, counsel and other third parties) </w:t>
            </w:r>
            <w:r w:rsidR="00D44212">
              <w:rPr>
                <w:rFonts w:ascii="Arial" w:hAnsi="Arial" w:cs="Arial"/>
                <w:sz w:val="20"/>
                <w:szCs w:val="20"/>
              </w:rPr>
              <w:t>as required</w:t>
            </w:r>
            <w:r w:rsidRPr="00850C98">
              <w:rPr>
                <w:rFonts w:ascii="Arial" w:hAnsi="Arial" w:cs="Arial"/>
                <w:sz w:val="20"/>
                <w:szCs w:val="20"/>
              </w:rPr>
              <w:t>, liaising on claims to enhance quality service and outcomes for members</w:t>
            </w:r>
          </w:p>
          <w:p w14:paraId="5F1BF4F4" w14:textId="77777777" w:rsidR="00410262" w:rsidRPr="00161CFA" w:rsidRDefault="00410262" w:rsidP="00161C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E9116DF" w14:textId="77777777" w:rsidR="00454C1C" w:rsidRDefault="00454C1C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F2747DF" w14:textId="77777777" w:rsidR="00644BB2" w:rsidRPr="002D7ABB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FD0E35" w14:textId="77777777" w:rsidR="00644BB2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716B2B6" w14:textId="77777777" w:rsidR="009E22D0" w:rsidRPr="00B75089" w:rsidRDefault="00143AC6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7879CF9B" w14:textId="77777777" w:rsidTr="00161CFA">
        <w:trPr>
          <w:trHeight w:val="3064"/>
        </w:trPr>
        <w:tc>
          <w:tcPr>
            <w:tcW w:w="7196" w:type="dxa"/>
          </w:tcPr>
          <w:p w14:paraId="5F9FF665" w14:textId="77777777" w:rsidR="009E22D0" w:rsidRPr="00B75089" w:rsidRDefault="009E22D0" w:rsidP="00161CF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6BC738F" w14:textId="77777777" w:rsidR="00143AC6" w:rsidRDefault="00644BB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9F9E2" w14:textId="77777777" w:rsidR="00FA0451" w:rsidRDefault="00C841A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51E43123" w14:textId="47537C53" w:rsidR="00143AC6" w:rsidRPr="00161CFA" w:rsidRDefault="008A55FE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Accurately maintain all electronic case files</w:t>
            </w:r>
            <w:r w:rsidR="00D84317">
              <w:rPr>
                <w:rFonts w:ascii="Arial" w:hAnsi="Arial" w:cs="Arial"/>
                <w:sz w:val="20"/>
                <w:szCs w:val="20"/>
              </w:rPr>
              <w:t>; prepare</w:t>
            </w:r>
            <w:r>
              <w:rPr>
                <w:rFonts w:ascii="Arial" w:hAnsi="Arial" w:cs="Arial"/>
                <w:sz w:val="20"/>
                <w:szCs w:val="20"/>
              </w:rPr>
              <w:t xml:space="preserve"> core documentation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4212">
              <w:rPr>
                <w:rFonts w:ascii="Arial" w:hAnsi="Arial" w:cs="Arial"/>
                <w:sz w:val="20"/>
                <w:szCs w:val="20"/>
              </w:rPr>
              <w:t>attendance notes</w:t>
            </w:r>
            <w:r w:rsidR="00A9072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medical records and manage all disclosure issues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prepare cases for closure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540E7D">
              <w:rPr>
                <w:rFonts w:ascii="Arial" w:hAnsi="Arial" w:cs="Arial"/>
                <w:sz w:val="20"/>
                <w:szCs w:val="20"/>
              </w:rPr>
              <w:t>balance</w:t>
            </w:r>
            <w:r w:rsidR="00540E7D"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AC6"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43AC6">
              <w:rPr>
                <w:rFonts w:ascii="Arial" w:hAnsi="Arial" w:cs="Arial"/>
                <w:sz w:val="20"/>
                <w:szCs w:val="20"/>
              </w:rPr>
              <w:t>the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 to preserve the </w:t>
            </w:r>
            <w:r w:rsidR="00143AC6">
              <w:rPr>
                <w:rFonts w:ascii="Arial" w:hAnsi="Arial" w:cs="Arial"/>
                <w:sz w:val="20"/>
                <w:szCs w:val="20"/>
              </w:rPr>
              <w:t>membership fund</w:t>
            </w:r>
            <w:r w:rsidR="00A90721">
              <w:rPr>
                <w:rFonts w:ascii="Arial" w:hAnsi="Arial" w:cs="Arial"/>
                <w:sz w:val="20"/>
                <w:szCs w:val="20"/>
              </w:rPr>
              <w:t>. Use</w:t>
            </w:r>
            <w:r w:rsidR="00A90721" w:rsidRPr="00BD233E">
              <w:rPr>
                <w:rFonts w:ascii="Arial" w:hAnsi="Arial" w:cs="Arial"/>
                <w:sz w:val="20"/>
                <w:szCs w:val="20"/>
              </w:rPr>
              <w:t xml:space="preserve"> own judgement on when to escalate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matters</w:t>
            </w:r>
          </w:p>
          <w:p w14:paraId="3A3DE3FB" w14:textId="77777777" w:rsidR="00FA0451" w:rsidRPr="00FA0451" w:rsidRDefault="00FA0451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735FECF9" w14:textId="77777777" w:rsidR="00C841A2" w:rsidRPr="00161CFA" w:rsidRDefault="00C841A2" w:rsidP="00161CFA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12EFAA" w14:textId="77777777" w:rsidR="002D7ABB" w:rsidRPr="002D7ABB" w:rsidRDefault="009E22D0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B81131D" w14:textId="77777777" w:rsidR="009E22D0" w:rsidRPr="005C41F3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1C72EE1" w14:textId="77777777" w:rsidR="005C41F3" w:rsidRPr="00062E07" w:rsidRDefault="005C41F3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615E4494" w14:textId="77777777" w:rsidR="00062E07" w:rsidRPr="00B75089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741E7873" w14:textId="77777777" w:rsidR="00FB4711" w:rsidRPr="00161CFA" w:rsidRDefault="00FB4711" w:rsidP="00161CFA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07A83B7" w14:textId="77777777" w:rsidTr="00161CFA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4FFFB97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C3CDB32" w14:textId="77777777" w:rsidTr="00161CFA">
        <w:trPr>
          <w:trHeight w:val="467"/>
        </w:trPr>
        <w:tc>
          <w:tcPr>
            <w:tcW w:w="10490" w:type="dxa"/>
          </w:tcPr>
          <w:p w14:paraId="171BBE87" w14:textId="77777777" w:rsidR="009E22D0" w:rsidRPr="00161CFA" w:rsidRDefault="000455EC" w:rsidP="00161CFA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1E68F99E" w14:textId="77777777" w:rsidR="008A55FE" w:rsidRPr="00161CFA" w:rsidRDefault="008A55FE" w:rsidP="00161CFA">
            <w:pPr>
              <w:pStyle w:val="ListParagraph"/>
              <w:numPr>
                <w:ilvl w:val="0"/>
                <w:numId w:val="17"/>
              </w:numPr>
              <w:spacing w:before="0" w:beforeAutospacing="0" w:after="0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161CFA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05B1DADE" w14:textId="77777777" w:rsidR="009E22D0" w:rsidRPr="00161CFA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C3EA75F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132637F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5B03BD" w14:textId="77777777" w:rsidTr="00161CFA">
        <w:trPr>
          <w:trHeight w:val="243"/>
        </w:trPr>
        <w:tc>
          <w:tcPr>
            <w:tcW w:w="10490" w:type="dxa"/>
          </w:tcPr>
          <w:p w14:paraId="4AA7C5C5" w14:textId="77777777" w:rsidR="005542D1" w:rsidRPr="00CA6F6F" w:rsidRDefault="00CA6F6F" w:rsidP="00161CF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3BAB3616" w14:textId="77777777" w:rsidR="005542D1" w:rsidRPr="00161CFA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216578CF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246CE5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16601F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C58E3" w:rsidRPr="00B75089" w14:paraId="28624419" w14:textId="77777777" w:rsidTr="00FF16B8">
        <w:trPr>
          <w:trHeight w:val="211"/>
        </w:trPr>
        <w:tc>
          <w:tcPr>
            <w:tcW w:w="6008" w:type="dxa"/>
          </w:tcPr>
          <w:p w14:paraId="4CD85326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1FAAA41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4A25113" w14:textId="77777777" w:rsidTr="00FF16B8">
        <w:trPr>
          <w:trHeight w:val="211"/>
        </w:trPr>
        <w:tc>
          <w:tcPr>
            <w:tcW w:w="6008" w:type="dxa"/>
          </w:tcPr>
          <w:p w14:paraId="5CDB4DAB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43F8A1C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694BD84B" w14:textId="77777777" w:rsidTr="00FF16B8">
        <w:trPr>
          <w:trHeight w:val="211"/>
        </w:trPr>
        <w:tc>
          <w:tcPr>
            <w:tcW w:w="6008" w:type="dxa"/>
          </w:tcPr>
          <w:p w14:paraId="120D3E3E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197936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2FCBED90" w14:textId="77777777" w:rsidTr="00FF16B8">
        <w:trPr>
          <w:trHeight w:val="211"/>
        </w:trPr>
        <w:tc>
          <w:tcPr>
            <w:tcW w:w="6008" w:type="dxa"/>
          </w:tcPr>
          <w:p w14:paraId="1DB5A09F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DFB26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37F2BC7B" w14:textId="77777777" w:rsidTr="00FF16B8">
        <w:trPr>
          <w:trHeight w:val="211"/>
        </w:trPr>
        <w:tc>
          <w:tcPr>
            <w:tcW w:w="6008" w:type="dxa"/>
          </w:tcPr>
          <w:p w14:paraId="3D65867A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AE4D600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B845E19" w14:textId="77777777" w:rsidTr="00FF16B8">
        <w:trPr>
          <w:trHeight w:val="211"/>
        </w:trPr>
        <w:tc>
          <w:tcPr>
            <w:tcW w:w="6008" w:type="dxa"/>
          </w:tcPr>
          <w:p w14:paraId="76358589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E50C43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p w14:paraId="201AE97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437BEC0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1A81F1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7F7B34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44A54B29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14414FB8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289C07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E9173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7D2D80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9C58E3" w:rsidRPr="00B75089" w14:paraId="4BE8F76A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5B841BD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18BEE5AD" w14:textId="77777777" w:rsidR="009C58E3" w:rsidRPr="002D76E0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7DD48B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C4FC943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9C58E3" w:rsidRPr="00B75089" w14:paraId="58C85683" w14:textId="77777777" w:rsidTr="009C58E3">
        <w:trPr>
          <w:cantSplit/>
          <w:trHeight w:val="207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36882E3" w14:textId="77777777" w:rsidR="009C58E3" w:rsidRPr="00B75089" w:rsidRDefault="009C58E3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1B720F17" w14:textId="77777777" w:rsidR="009C58E3" w:rsidRPr="002D76E0" w:rsidRDefault="009C58E3" w:rsidP="00E800F6"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5211A">
              <w:rPr>
                <w:rFonts w:ascii="Arial" w:hAnsi="Arial" w:cs="Arial"/>
                <w:sz w:val="20"/>
                <w:szCs w:val="20"/>
              </w:rPr>
              <w:t>aw Degree or Cilex qualification</w:t>
            </w:r>
            <w:r w:rsidRPr="002D76E0" w:rsidDel="008A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1B9A9EB" w14:textId="77777777" w:rsidR="009C58E3" w:rsidRDefault="009C58E3" w:rsidP="00E800F6">
            <w:pPr>
              <w:pStyle w:val="ListParagraph"/>
              <w:spacing w:before="0" w:beforeAutospacing="0" w:after="0" w:afterAutospacing="0"/>
              <w:ind w:left="17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4AB85790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D041C30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Working in a legal or claims environment</w:t>
            </w:r>
          </w:p>
          <w:p w14:paraId="41BA24FF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Assisting in the management of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litigated clinical negligence claims </w:t>
            </w:r>
          </w:p>
          <w:p w14:paraId="1D2A1006" w14:textId="77777777" w:rsidR="009C58E3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71B5714C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Proven understanding of the CPR and the litigation process</w:t>
            </w:r>
          </w:p>
        </w:tc>
      </w:tr>
      <w:tr w:rsidR="009C58E3" w:rsidRPr="00B75089" w14:paraId="4AB3869C" w14:textId="77777777" w:rsidTr="00E800F6">
        <w:trPr>
          <w:cantSplit/>
          <w:trHeight w:val="1124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8ABBAA1" w14:textId="77777777" w:rsidR="009C58E3" w:rsidRPr="00B75089" w:rsidRDefault="009C58E3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38091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LPC</w:t>
            </w:r>
          </w:p>
        </w:tc>
        <w:tc>
          <w:tcPr>
            <w:tcW w:w="2977" w:type="dxa"/>
          </w:tcPr>
          <w:p w14:paraId="6007F87D" w14:textId="77777777" w:rsidR="009C58E3" w:rsidRPr="00F5211A" w:rsidRDefault="009C58E3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CD4CDFF" w14:textId="77777777" w:rsidR="009C58E3" w:rsidRPr="00E03F3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3F3A">
              <w:rPr>
                <w:rFonts w:ascii="Arial" w:eastAsia="Calibri" w:hAnsi="Arial" w:cs="Arial"/>
                <w:sz w:val="20"/>
                <w:szCs w:val="20"/>
              </w:rPr>
              <w:t>Knowledge of medical terminology</w:t>
            </w:r>
          </w:p>
          <w:p w14:paraId="7AEF6967" w14:textId="77777777" w:rsidR="009C58E3" w:rsidRPr="00E03F3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03F3A">
              <w:rPr>
                <w:rFonts w:ascii="Arial" w:hAnsi="Arial" w:cs="Arial"/>
                <w:sz w:val="20"/>
                <w:szCs w:val="20"/>
              </w:rPr>
              <w:t>Experience in an insurance /           regulatory environment</w:t>
            </w:r>
          </w:p>
          <w:p w14:paraId="4DAB9658" w14:textId="77777777" w:rsidR="009C58E3" w:rsidRPr="0085360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8E3">
              <w:rPr>
                <w:rFonts w:ascii="Arial" w:hAnsi="Arial" w:cs="Arial"/>
                <w:sz w:val="20"/>
                <w:szCs w:val="20"/>
              </w:rPr>
              <w:t>Experience in strong customer service / member management background</w:t>
            </w:r>
            <w:r w:rsidRPr="009C58E3" w:rsidDel="00D52A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3FE3F0" w14:textId="77777777" w:rsidR="009C58E3" w:rsidRPr="00B75089" w:rsidRDefault="009C58E3" w:rsidP="00B75089">
      <w:pPr>
        <w:spacing w:line="240" w:lineRule="auto"/>
        <w:rPr>
          <w:rFonts w:ascii="Arial" w:hAnsi="Arial" w:cs="Arial"/>
        </w:rPr>
      </w:pPr>
    </w:p>
    <w:sectPr w:rsidR="009C58E3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2E2D" w14:textId="77777777" w:rsidR="001E0211" w:rsidRDefault="001E0211" w:rsidP="009E22D0">
      <w:pPr>
        <w:spacing w:after="0" w:line="240" w:lineRule="auto"/>
      </w:pPr>
      <w:r>
        <w:separator/>
      </w:r>
    </w:p>
  </w:endnote>
  <w:endnote w:type="continuationSeparator" w:id="0">
    <w:p w14:paraId="3D02B8BA" w14:textId="77777777" w:rsidR="001E0211" w:rsidRDefault="001E021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45A2F" w14:textId="3392FED9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</w:t>
    </w:r>
    <w:r w:rsidRPr="00AD458B">
      <w:rPr>
        <w:rFonts w:ascii="Arial" w:eastAsiaTheme="minorHAnsi" w:hAnsi="Arial" w:cs="Arial"/>
        <w:sz w:val="16"/>
        <w:lang w:eastAsia="en-US"/>
      </w:rPr>
      <w:t xml:space="preserve">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6D848861" w14:textId="77777777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1070D0C6" w14:textId="6ADC89D0" w:rsidR="002C15A2" w:rsidRDefault="002C15A2" w:rsidP="002C15A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E03A" w14:textId="77777777" w:rsidR="001E0211" w:rsidRDefault="001E0211" w:rsidP="009E22D0">
      <w:pPr>
        <w:spacing w:after="0" w:line="240" w:lineRule="auto"/>
      </w:pPr>
      <w:r>
        <w:separator/>
      </w:r>
    </w:p>
  </w:footnote>
  <w:footnote w:type="continuationSeparator" w:id="0">
    <w:p w14:paraId="32439D74" w14:textId="77777777" w:rsidR="001E0211" w:rsidRDefault="001E021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1773" w14:textId="77777777" w:rsidR="00FA040E" w:rsidRPr="000E4361" w:rsidRDefault="00FA040E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0B3FBF0" wp14:editId="73D51F92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F4"/>
    <w:multiLevelType w:val="hybridMultilevel"/>
    <w:tmpl w:val="9AD0AE4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7962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185"/>
    <w:multiLevelType w:val="hybridMultilevel"/>
    <w:tmpl w:val="42065F4C"/>
    <w:lvl w:ilvl="0" w:tplc="05A26E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63"/>
    <w:multiLevelType w:val="hybridMultilevel"/>
    <w:tmpl w:val="DA56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2"/>
  </w:num>
  <w:num w:numId="8">
    <w:abstractNumId w:val="29"/>
  </w:num>
  <w:num w:numId="9">
    <w:abstractNumId w:val="30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5"/>
  </w:num>
  <w:num w:numId="18">
    <w:abstractNumId w:val="6"/>
  </w:num>
  <w:num w:numId="19">
    <w:abstractNumId w:val="13"/>
  </w:num>
  <w:num w:numId="20">
    <w:abstractNumId w:val="23"/>
  </w:num>
  <w:num w:numId="21">
    <w:abstractNumId w:val="17"/>
  </w:num>
  <w:num w:numId="22">
    <w:abstractNumId w:val="2"/>
  </w:num>
  <w:num w:numId="23">
    <w:abstractNumId w:val="20"/>
  </w:num>
  <w:num w:numId="24">
    <w:abstractNumId w:val="11"/>
  </w:num>
  <w:num w:numId="25">
    <w:abstractNumId w:val="12"/>
  </w:num>
  <w:num w:numId="26">
    <w:abstractNumId w:val="10"/>
  </w:num>
  <w:num w:numId="27">
    <w:abstractNumId w:val="0"/>
  </w:num>
  <w:num w:numId="28">
    <w:abstractNumId w:val="1"/>
  </w:num>
  <w:num w:numId="29">
    <w:abstractNumId w:val="7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0AF08D-3B2C-4100-A73D-273995691EE9}"/>
    <w:docVar w:name="dgnword-eventsink" w:val="592115080"/>
  </w:docVars>
  <w:rsids>
    <w:rsidRoot w:val="009E22D0"/>
    <w:rsid w:val="00000DB5"/>
    <w:rsid w:val="000455EC"/>
    <w:rsid w:val="00062E07"/>
    <w:rsid w:val="00082F60"/>
    <w:rsid w:val="000A1DE1"/>
    <w:rsid w:val="000E1AB8"/>
    <w:rsid w:val="000E4361"/>
    <w:rsid w:val="001364B0"/>
    <w:rsid w:val="00143AC6"/>
    <w:rsid w:val="0016136D"/>
    <w:rsid w:val="00161CFA"/>
    <w:rsid w:val="001B793C"/>
    <w:rsid w:val="001E0211"/>
    <w:rsid w:val="002B557F"/>
    <w:rsid w:val="002C15A2"/>
    <w:rsid w:val="002D6C35"/>
    <w:rsid w:val="002D76E0"/>
    <w:rsid w:val="002D7ABB"/>
    <w:rsid w:val="002E016E"/>
    <w:rsid w:val="003836AF"/>
    <w:rsid w:val="003A2452"/>
    <w:rsid w:val="003B52F7"/>
    <w:rsid w:val="003E445D"/>
    <w:rsid w:val="003F557C"/>
    <w:rsid w:val="003F771D"/>
    <w:rsid w:val="00405766"/>
    <w:rsid w:val="00410262"/>
    <w:rsid w:val="00454C1C"/>
    <w:rsid w:val="0047414B"/>
    <w:rsid w:val="004752C7"/>
    <w:rsid w:val="004808F9"/>
    <w:rsid w:val="004B0DB2"/>
    <w:rsid w:val="004D18E8"/>
    <w:rsid w:val="00533268"/>
    <w:rsid w:val="00540E7D"/>
    <w:rsid w:val="005542D1"/>
    <w:rsid w:val="0056188D"/>
    <w:rsid w:val="005C41F3"/>
    <w:rsid w:val="00606DAE"/>
    <w:rsid w:val="006219B1"/>
    <w:rsid w:val="00644BB2"/>
    <w:rsid w:val="0065710F"/>
    <w:rsid w:val="0066369A"/>
    <w:rsid w:val="00666EB3"/>
    <w:rsid w:val="006819D0"/>
    <w:rsid w:val="006A4C6D"/>
    <w:rsid w:val="006C7BA3"/>
    <w:rsid w:val="006D7670"/>
    <w:rsid w:val="006E0AB8"/>
    <w:rsid w:val="00711E46"/>
    <w:rsid w:val="00717094"/>
    <w:rsid w:val="00787B5B"/>
    <w:rsid w:val="007943A8"/>
    <w:rsid w:val="007C461A"/>
    <w:rsid w:val="007E6EFE"/>
    <w:rsid w:val="007E7CA1"/>
    <w:rsid w:val="00812142"/>
    <w:rsid w:val="00813AEB"/>
    <w:rsid w:val="0082274E"/>
    <w:rsid w:val="00835521"/>
    <w:rsid w:val="008508F8"/>
    <w:rsid w:val="00850C98"/>
    <w:rsid w:val="0085360A"/>
    <w:rsid w:val="008A55FE"/>
    <w:rsid w:val="00904FF4"/>
    <w:rsid w:val="00944EE0"/>
    <w:rsid w:val="00980520"/>
    <w:rsid w:val="0099125C"/>
    <w:rsid w:val="009A1CC0"/>
    <w:rsid w:val="009B386E"/>
    <w:rsid w:val="009C58E3"/>
    <w:rsid w:val="009E22D0"/>
    <w:rsid w:val="00A0693C"/>
    <w:rsid w:val="00A37033"/>
    <w:rsid w:val="00A4414A"/>
    <w:rsid w:val="00A46582"/>
    <w:rsid w:val="00A60601"/>
    <w:rsid w:val="00A90721"/>
    <w:rsid w:val="00A93EF0"/>
    <w:rsid w:val="00AD1EB4"/>
    <w:rsid w:val="00AD34A1"/>
    <w:rsid w:val="00AD5851"/>
    <w:rsid w:val="00AF4E71"/>
    <w:rsid w:val="00B4732A"/>
    <w:rsid w:val="00B550B6"/>
    <w:rsid w:val="00B57509"/>
    <w:rsid w:val="00B70A16"/>
    <w:rsid w:val="00B75089"/>
    <w:rsid w:val="00BA6692"/>
    <w:rsid w:val="00BB5B53"/>
    <w:rsid w:val="00BD47F0"/>
    <w:rsid w:val="00C028B9"/>
    <w:rsid w:val="00C049C6"/>
    <w:rsid w:val="00C24BFD"/>
    <w:rsid w:val="00C33FDC"/>
    <w:rsid w:val="00C469D1"/>
    <w:rsid w:val="00C841A2"/>
    <w:rsid w:val="00C91CFA"/>
    <w:rsid w:val="00CA4857"/>
    <w:rsid w:val="00CA6F6F"/>
    <w:rsid w:val="00CC37B0"/>
    <w:rsid w:val="00CC3DA7"/>
    <w:rsid w:val="00CD2105"/>
    <w:rsid w:val="00CE3A02"/>
    <w:rsid w:val="00D32802"/>
    <w:rsid w:val="00D40F96"/>
    <w:rsid w:val="00D42991"/>
    <w:rsid w:val="00D43B10"/>
    <w:rsid w:val="00D44212"/>
    <w:rsid w:val="00D44A4F"/>
    <w:rsid w:val="00D52A5E"/>
    <w:rsid w:val="00D84317"/>
    <w:rsid w:val="00DB078C"/>
    <w:rsid w:val="00DB6EE0"/>
    <w:rsid w:val="00DC593B"/>
    <w:rsid w:val="00DE5F9D"/>
    <w:rsid w:val="00E40AC5"/>
    <w:rsid w:val="00E97520"/>
    <w:rsid w:val="00EF6C63"/>
    <w:rsid w:val="00EF73AF"/>
    <w:rsid w:val="00F5211A"/>
    <w:rsid w:val="00F5319A"/>
    <w:rsid w:val="00F5572B"/>
    <w:rsid w:val="00F70694"/>
    <w:rsid w:val="00F846EE"/>
    <w:rsid w:val="00FA040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68D6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F9D6307A-C1E9-4F97-A9EA-D0727495DE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Carr, Emily</cp:lastModifiedBy>
  <cp:revision>4</cp:revision>
  <dcterms:created xsi:type="dcterms:W3CDTF">2019-11-13T11:31:00Z</dcterms:created>
  <dcterms:modified xsi:type="dcterms:W3CDTF">2020-06-02T16:54:00Z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3ca4ec16-0fc5-420f-b1c0-2a23a47da1ac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