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4633C6CB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783F51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4C5DEC16" w14:textId="51C07AAE" w:rsidR="00F5319A" w:rsidRPr="00B75089" w:rsidRDefault="00DB2D9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Regulatory</w:t>
            </w:r>
            <w:r w:rsidR="00745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CF1">
              <w:rPr>
                <w:rFonts w:ascii="Arial" w:hAnsi="Arial" w:cs="Arial"/>
                <w:sz w:val="20"/>
                <w:szCs w:val="20"/>
              </w:rPr>
              <w:t>Account</w:t>
            </w:r>
            <w:r w:rsidR="00E5658B">
              <w:rPr>
                <w:rFonts w:ascii="Arial" w:hAnsi="Arial" w:cs="Arial"/>
                <w:sz w:val="20"/>
                <w:szCs w:val="20"/>
              </w:rPr>
              <w:t>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36F07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8B300D5" w14:textId="156ABAE9" w:rsidR="00F5319A" w:rsidRPr="00B75089" w:rsidRDefault="007F2D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Financial Controller / Head of Insurance Operations</w:t>
            </w:r>
          </w:p>
        </w:tc>
      </w:tr>
      <w:tr w:rsidR="00F5319A" w:rsidRPr="00B75089" w14:paraId="149506C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4B5E244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75A36D8B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AE69F4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323843D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F5319A" w:rsidRPr="00B75089" w14:paraId="0A6B9C6D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430F7D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5A12296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1B8BDC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54E9E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F9E641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A729508" w14:textId="77777777" w:rsidR="00F5319A" w:rsidRDefault="001459DA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UK and International</w:t>
            </w:r>
          </w:p>
          <w:p w14:paraId="38CC231B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71EC3A40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D5CBE5D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9FFDB8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7960A3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213761D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4FA719F7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589BF3FE" w14:textId="77777777" w:rsidR="00F5319A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088E5B42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E83A76F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BBAFC4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F6E11E7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3CB1B58B" w14:textId="54385D21" w:rsidR="00F5319A" w:rsidRPr="00B75089" w:rsidRDefault="00DB2D9E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7E7CA1" w:rsidRPr="00B75089" w14:paraId="1A623BB4" w14:textId="77777777" w:rsidTr="00937A03">
        <w:trPr>
          <w:trHeight w:val="411"/>
        </w:trPr>
        <w:tc>
          <w:tcPr>
            <w:tcW w:w="2127" w:type="dxa"/>
            <w:shd w:val="clear" w:color="auto" w:fill="D9D9D9" w:themeFill="background1" w:themeFillShade="D9"/>
          </w:tcPr>
          <w:p w14:paraId="584FAA92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034F9AB4" w14:textId="65D99C13" w:rsidR="007E7CA1" w:rsidRPr="00B75089" w:rsidRDefault="00E5658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EEA1F1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0C75706" w14:textId="77777777" w:rsidR="007E7CA1" w:rsidRPr="00B75089" w:rsidRDefault="001459D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</w:t>
            </w:r>
          </w:p>
        </w:tc>
      </w:tr>
    </w:tbl>
    <w:p w14:paraId="4599168C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5BFF88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D02CE8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8F5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77193B2B" w14:textId="77777777" w:rsidTr="009E22D0">
        <w:trPr>
          <w:trHeight w:val="693"/>
        </w:trPr>
        <w:tc>
          <w:tcPr>
            <w:tcW w:w="10509" w:type="dxa"/>
          </w:tcPr>
          <w:p w14:paraId="70AEA5BD" w14:textId="586F2CE7" w:rsidR="001D305E" w:rsidRPr="001D305E" w:rsidRDefault="001D305E" w:rsidP="002D4A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30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85AA3">
              <w:rPr>
                <w:rFonts w:ascii="Arial" w:hAnsi="Arial" w:cs="Arial"/>
                <w:sz w:val="20"/>
                <w:szCs w:val="20"/>
              </w:rPr>
              <w:t xml:space="preserve">purpose of this role is to provide </w:t>
            </w:r>
            <w:r w:rsidR="007762EE">
              <w:rPr>
                <w:rFonts w:ascii="Arial" w:hAnsi="Arial" w:cs="Arial"/>
                <w:sz w:val="20"/>
                <w:szCs w:val="20"/>
              </w:rPr>
              <w:t xml:space="preserve">comprehensive </w:t>
            </w:r>
            <w:r w:rsidR="00DB2D9E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1D30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6C7E">
              <w:rPr>
                <w:rFonts w:ascii="Arial" w:hAnsi="Arial" w:cs="Arial"/>
                <w:sz w:val="20"/>
                <w:szCs w:val="20"/>
              </w:rPr>
              <w:t>for</w:t>
            </w:r>
            <w:r w:rsidR="00D6256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DB2D9E">
              <w:rPr>
                <w:rFonts w:ascii="Arial" w:hAnsi="Arial" w:cs="Arial"/>
                <w:sz w:val="20"/>
                <w:szCs w:val="20"/>
              </w:rPr>
              <w:t>insurance related activities undertaken by the Group</w:t>
            </w:r>
            <w:r w:rsidR="00746C7E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="007F2D9D">
              <w:rPr>
                <w:rFonts w:ascii="Arial" w:hAnsi="Arial" w:cs="Arial"/>
                <w:sz w:val="20"/>
                <w:szCs w:val="20"/>
              </w:rPr>
              <w:t xml:space="preserve">, at this stage, </w:t>
            </w:r>
            <w:r w:rsidR="00746C7E">
              <w:rPr>
                <w:rFonts w:ascii="Arial" w:hAnsi="Arial" w:cs="Arial"/>
                <w:sz w:val="20"/>
                <w:szCs w:val="20"/>
              </w:rPr>
              <w:t>completion of</w:t>
            </w:r>
            <w:r w:rsidR="00746C7E" w:rsidRPr="00746C7E">
              <w:rPr>
                <w:rFonts w:ascii="Arial" w:hAnsi="Arial" w:cs="Arial"/>
                <w:sz w:val="20"/>
                <w:szCs w:val="20"/>
              </w:rPr>
              <w:t xml:space="preserve"> monthly balance sheet reconciliations</w:t>
            </w:r>
            <w:r w:rsidR="00746C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6C7E" w:rsidRPr="00746C7E">
              <w:rPr>
                <w:rFonts w:ascii="Arial" w:hAnsi="Arial" w:cs="Arial"/>
                <w:sz w:val="20"/>
                <w:szCs w:val="20"/>
              </w:rPr>
              <w:t>and prepar</w:t>
            </w:r>
            <w:r w:rsidR="00746C7E">
              <w:rPr>
                <w:rFonts w:ascii="Arial" w:hAnsi="Arial" w:cs="Arial"/>
                <w:sz w:val="20"/>
                <w:szCs w:val="20"/>
              </w:rPr>
              <w:t>ation of</w:t>
            </w:r>
            <w:r w:rsidR="00746C7E" w:rsidRPr="00746C7E">
              <w:rPr>
                <w:rFonts w:ascii="Arial" w:hAnsi="Arial" w:cs="Arial"/>
                <w:sz w:val="20"/>
                <w:szCs w:val="20"/>
              </w:rPr>
              <w:t xml:space="preserve"> statutory returns in order to ensure the business remains legally compliant </w:t>
            </w:r>
            <w:r w:rsidR="00746C7E">
              <w:rPr>
                <w:rFonts w:ascii="Arial" w:hAnsi="Arial" w:cs="Arial"/>
                <w:sz w:val="20"/>
                <w:szCs w:val="20"/>
              </w:rPr>
              <w:t>as well as being</w:t>
            </w:r>
            <w:r w:rsidR="00746C7E" w:rsidRPr="00746C7E">
              <w:rPr>
                <w:rFonts w:ascii="Arial" w:hAnsi="Arial" w:cs="Arial"/>
                <w:sz w:val="20"/>
                <w:szCs w:val="20"/>
              </w:rPr>
              <w:t xml:space="preserve"> able to effectively support </w:t>
            </w:r>
            <w:r w:rsidR="00746C7E">
              <w:rPr>
                <w:rFonts w:ascii="Arial" w:hAnsi="Arial" w:cs="Arial"/>
                <w:sz w:val="20"/>
                <w:szCs w:val="20"/>
              </w:rPr>
              <w:t>strategic decision</w:t>
            </w:r>
            <w:r w:rsidR="009F12A2">
              <w:rPr>
                <w:rFonts w:ascii="Arial" w:hAnsi="Arial" w:cs="Arial"/>
                <w:sz w:val="20"/>
                <w:szCs w:val="20"/>
              </w:rPr>
              <w:t xml:space="preserve"> making</w:t>
            </w:r>
            <w:r w:rsidR="00746C7E" w:rsidRPr="00746C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FFD609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56D39ED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C2E3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C292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1913C49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8AAC5" w14:textId="77777777" w:rsidR="00717094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86C14F8" w14:textId="77777777" w:rsidR="009E22D0" w:rsidRPr="00B75089" w:rsidRDefault="009E22D0" w:rsidP="001459D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872DF90" w14:textId="77777777" w:rsidTr="009E22D0">
        <w:trPr>
          <w:trHeight w:val="578"/>
        </w:trPr>
        <w:tc>
          <w:tcPr>
            <w:tcW w:w="6346" w:type="dxa"/>
          </w:tcPr>
          <w:p w14:paraId="4A53E5AE" w14:textId="77777777" w:rsidR="0056188D" w:rsidRPr="00644BB2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608C6BFB" w14:textId="687901CF" w:rsidR="007F2D9D" w:rsidRDefault="001459DA" w:rsidP="007F2D9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Support the delivery of the </w:t>
            </w:r>
            <w:r w:rsidR="00746C7E">
              <w:rPr>
                <w:rFonts w:ascii="Arial" w:eastAsia="Calibri" w:hAnsi="Arial" w:cs="Arial"/>
                <w:sz w:val="20"/>
                <w:szCs w:val="20"/>
              </w:rPr>
              <w:t>insurance</w:t>
            </w:r>
            <w:r w:rsidRPr="001459DA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quality</w:t>
            </w:r>
            <w:r w:rsidR="007F2D9D">
              <w:rPr>
                <w:rFonts w:ascii="Arial" w:eastAsia="Calibri" w:hAnsi="Arial" w:cs="Arial"/>
                <w:sz w:val="20"/>
                <w:szCs w:val="20"/>
              </w:rPr>
              <w:t xml:space="preserve"> w</w:t>
            </w:r>
            <w:r w:rsidR="007F2D9D" w:rsidRPr="007F2D9D">
              <w:rPr>
                <w:rFonts w:ascii="Arial" w:eastAsia="Calibri" w:hAnsi="Arial" w:cs="Arial"/>
                <w:sz w:val="20"/>
                <w:szCs w:val="20"/>
              </w:rPr>
              <w:t>ork</w:t>
            </w:r>
            <w:r w:rsidR="007F2D9D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="007F2D9D" w:rsidRPr="007F2D9D">
              <w:rPr>
                <w:rFonts w:ascii="Arial" w:eastAsia="Calibri" w:hAnsi="Arial" w:cs="Arial"/>
                <w:sz w:val="20"/>
                <w:szCs w:val="20"/>
              </w:rPr>
              <w:t xml:space="preserve"> closely with out Lloyd’s partners</w:t>
            </w:r>
          </w:p>
          <w:p w14:paraId="05475777" w14:textId="09F9E0A6" w:rsidR="007F2D9D" w:rsidRPr="007F2D9D" w:rsidRDefault="007F2D9D" w:rsidP="007F2D9D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Co-ordinate reporting to our external parties including Bordereaux reporting and other financial performance/MI</w:t>
            </w:r>
          </w:p>
          <w:p w14:paraId="66C0C559" w14:textId="6BF0EDF5" w:rsidR="001459DA" w:rsidRDefault="00157E10" w:rsidP="001459DA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 the 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monthly and annual </w:t>
            </w:r>
            <w:r w:rsidR="00B270A3">
              <w:rPr>
                <w:rFonts w:ascii="Arial" w:eastAsia="Calibri" w:hAnsi="Arial" w:cs="Arial"/>
                <w:sz w:val="20"/>
                <w:szCs w:val="20"/>
              </w:rPr>
              <w:t>financial accounting p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rocesses (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ccounts 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ntegrity,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 xml:space="preserve">onth end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 xml:space="preserve">and year end 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>processing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 xml:space="preserve">) within the organisation ensuring timely processing and completion in line with </w:t>
            </w:r>
            <w:r w:rsidR="0015016B">
              <w:rPr>
                <w:rFonts w:ascii="Arial" w:eastAsia="Calibri" w:hAnsi="Arial" w:cs="Arial"/>
                <w:sz w:val="20"/>
                <w:szCs w:val="20"/>
              </w:rPr>
              <w:t xml:space="preserve">established </w:t>
            </w:r>
            <w:r w:rsidR="001459DA" w:rsidRPr="001459DA">
              <w:rPr>
                <w:rFonts w:ascii="Arial" w:eastAsia="Calibri" w:hAnsi="Arial" w:cs="Arial"/>
                <w:sz w:val="20"/>
                <w:szCs w:val="20"/>
              </w:rPr>
              <w:t>governance timeframes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51A31C3" w14:textId="2039735C" w:rsidR="001F43A5" w:rsidRDefault="001F43A5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the production of monthly management information for review at key governance meetings.</w:t>
            </w:r>
          </w:p>
          <w:p w14:paraId="4D6BEA47" w14:textId="337BFBFC" w:rsidR="00157E10" w:rsidRDefault="00157E10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in the production of </w:t>
            </w:r>
            <w:r w:rsidR="00BC26F4">
              <w:rPr>
                <w:rFonts w:ascii="Arial" w:eastAsia="Calibri" w:hAnsi="Arial" w:cs="Arial"/>
                <w:sz w:val="20"/>
                <w:szCs w:val="20"/>
              </w:rPr>
              <w:t>historical data and options planning for key strategic decisions.</w:t>
            </w:r>
          </w:p>
          <w:p w14:paraId="726AD912" w14:textId="4610A57B" w:rsidR="001E549D" w:rsidRDefault="00BC26F4" w:rsidP="001501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Develop 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 xml:space="preserve">streamlined processes and detailed procedures to ensure </w:t>
            </w:r>
            <w:r w:rsidR="009F12A2">
              <w:rPr>
                <w:rFonts w:ascii="Arial" w:eastAsia="Calibri" w:hAnsi="Arial" w:cs="Arial"/>
                <w:sz w:val="20"/>
                <w:szCs w:val="20"/>
              </w:rPr>
              <w:t>clearly defined activities are adhered to</w:t>
            </w:r>
            <w:r w:rsidR="001E549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8F3E1B3" w14:textId="77777777" w:rsidR="00D62562" w:rsidRPr="001D305E" w:rsidRDefault="00D62562" w:rsidP="00D6256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AE6F405" w14:textId="374022EC" w:rsidR="00746C7E" w:rsidRPr="00746C7E" w:rsidRDefault="00746C7E" w:rsidP="00746C7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46C7E">
              <w:rPr>
                <w:rFonts w:ascii="Arial" w:eastAsia="Calibri" w:hAnsi="Arial" w:cs="Arial"/>
                <w:sz w:val="20"/>
                <w:szCs w:val="20"/>
              </w:rPr>
              <w:t>Financial sustainability Vs plan</w:t>
            </w:r>
          </w:p>
          <w:p w14:paraId="7E3A09E9" w14:textId="398B0580" w:rsidR="00746C7E" w:rsidRDefault="00746C7E" w:rsidP="00746C7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46C7E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6F268463" w14:textId="6FD94BB3" w:rsidR="00C91CFA" w:rsidRPr="00B75089" w:rsidRDefault="00C91CFA" w:rsidP="00B7508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33B1CD8A" w14:textId="4B3EAEF1"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Division </w:t>
            </w:r>
            <w:r w:rsidR="00E5658B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lan delivery Vs plan</w:t>
            </w:r>
          </w:p>
          <w:p w14:paraId="4726FF79" w14:textId="77777777" w:rsidR="00644BB2" w:rsidRPr="00644BB2" w:rsidRDefault="00644BB2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3E23A4B7" w14:textId="77777777" w:rsidR="009E22D0" w:rsidRPr="00B75089" w:rsidRDefault="009E22D0" w:rsidP="00644BB2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E04ACBF" w14:textId="77777777" w:rsidTr="009E22D0">
        <w:trPr>
          <w:trHeight w:val="578"/>
        </w:trPr>
        <w:tc>
          <w:tcPr>
            <w:tcW w:w="6346" w:type="dxa"/>
          </w:tcPr>
          <w:p w14:paraId="69F78468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1A4ECA2B" w14:textId="6CF44A3B" w:rsidR="009F12A2" w:rsidRPr="009F12A2" w:rsidRDefault="009F12A2" w:rsidP="009F12A2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F12A2">
              <w:rPr>
                <w:rFonts w:ascii="Arial" w:eastAsia="Calibri" w:hAnsi="Arial" w:cs="Arial"/>
                <w:sz w:val="20"/>
                <w:szCs w:val="20"/>
              </w:rPr>
              <w:t>Ensure that all spend is managed within organisation policy reporting variance</w:t>
            </w:r>
            <w:r w:rsidR="007F2D9D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9F12A2">
              <w:rPr>
                <w:rFonts w:ascii="Arial" w:eastAsia="Calibri" w:hAnsi="Arial" w:cs="Arial"/>
                <w:sz w:val="20"/>
                <w:szCs w:val="20"/>
              </w:rPr>
              <w:t xml:space="preserve"> to budget to the Finance leadership team</w:t>
            </w:r>
            <w:r w:rsidR="007F2D9D">
              <w:rPr>
                <w:rFonts w:ascii="Arial" w:eastAsia="Calibri" w:hAnsi="Arial" w:cs="Arial"/>
                <w:sz w:val="20"/>
                <w:szCs w:val="20"/>
              </w:rPr>
              <w:t xml:space="preserve"> and the Head of Insurance Operations</w:t>
            </w:r>
            <w:r w:rsidR="00E5658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89C189A" w14:textId="3ECA2B84" w:rsidR="009F12A2" w:rsidRPr="007F2D9D" w:rsidRDefault="001459DA" w:rsidP="007F2D9D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Manage all </w:t>
            </w:r>
            <w:r w:rsidR="00B65565" w:rsidRPr="00B270A3">
              <w:rPr>
                <w:rFonts w:ascii="Arial" w:eastAsia="Calibri" w:hAnsi="Arial" w:cs="Arial"/>
                <w:sz w:val="20"/>
                <w:szCs w:val="20"/>
              </w:rPr>
              <w:t xml:space="preserve">financial accounting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transactions and tasks requested by the </w:t>
            </w:r>
            <w:r w:rsidR="00B65565" w:rsidRPr="00B270A3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 xml:space="preserve"> division</w:t>
            </w:r>
            <w:r w:rsidR="00BC26F4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9F12A2">
              <w:rPr>
                <w:rFonts w:ascii="Arial" w:eastAsia="Calibri" w:hAnsi="Arial" w:cs="Arial"/>
                <w:sz w:val="20"/>
                <w:szCs w:val="20"/>
              </w:rPr>
              <w:t>and the wider insurance activities</w:t>
            </w:r>
            <w:r w:rsidR="00BC26F4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9F12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270A3">
              <w:rPr>
                <w:rFonts w:ascii="Arial" w:eastAsia="Calibri" w:hAnsi="Arial" w:cs="Arial"/>
                <w:sz w:val="20"/>
                <w:szCs w:val="20"/>
              </w:rPr>
              <w:t>in accordance with policy and ensure those which incur costs comply with all financial controls</w:t>
            </w:r>
            <w:r w:rsidR="00E5658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F2A6D7A" w14:textId="581DDD55" w:rsidR="001E549D" w:rsidRPr="00E5658B" w:rsidRDefault="00B270A3" w:rsidP="00E5658B">
            <w:pPr>
              <w:pStyle w:val="ListParagraph"/>
              <w:numPr>
                <w:ilvl w:val="0"/>
                <w:numId w:val="15"/>
              </w:numPr>
              <w:spacing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B270A3">
              <w:rPr>
                <w:rFonts w:ascii="Arial" w:eastAsia="Calibri" w:hAnsi="Arial" w:cs="Arial"/>
                <w:sz w:val="20"/>
                <w:szCs w:val="20"/>
              </w:rPr>
              <w:t>Support the production of metrics from organisational data sources to inform business decisions and actions which results in a measurable improvement in business performance and trend</w:t>
            </w:r>
            <w:r w:rsidR="00D56C90">
              <w:rPr>
                <w:rFonts w:ascii="Arial" w:eastAsia="Calibri" w:hAnsi="Arial" w:cs="Arial"/>
                <w:sz w:val="20"/>
                <w:szCs w:val="20"/>
              </w:rPr>
              <w:t>s.</w:t>
            </w:r>
          </w:p>
        </w:tc>
        <w:tc>
          <w:tcPr>
            <w:tcW w:w="4141" w:type="dxa"/>
          </w:tcPr>
          <w:p w14:paraId="39B6965F" w14:textId="77777777" w:rsidR="00644BB2" w:rsidRPr="00644BB2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CB38511" w14:textId="77777777" w:rsidR="009E22D0" w:rsidRPr="00B75089" w:rsidRDefault="009E22D0" w:rsidP="001459DA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72F03CB" w14:textId="77777777" w:rsidTr="009E22D0">
        <w:trPr>
          <w:trHeight w:val="578"/>
        </w:trPr>
        <w:tc>
          <w:tcPr>
            <w:tcW w:w="6346" w:type="dxa"/>
          </w:tcPr>
          <w:p w14:paraId="146417D8" w14:textId="721FCF30" w:rsidR="009E22D0" w:rsidRPr="00B75089" w:rsidRDefault="006325B9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9E22D0"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5EF38811" w14:textId="3D2709A6" w:rsidR="001459DA" w:rsidRDefault="001459DA" w:rsidP="00B65565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Monitor emerging </w:t>
            </w:r>
            <w:r w:rsidR="00B65565" w:rsidRPr="00B65565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Pr="00B65565">
              <w:rPr>
                <w:rFonts w:ascii="Arial" w:eastAsia="Calibri" w:hAnsi="Arial" w:cs="Arial"/>
                <w:sz w:val="20"/>
                <w:szCs w:val="20"/>
              </w:rPr>
              <w:t xml:space="preserve"> risks and issues arising from business activities which fail to deliver appropriate and consistent outcomes for members or are likely to have a material adverse effect on the Group.</w:t>
            </w:r>
          </w:p>
          <w:p w14:paraId="3FB7E2C5" w14:textId="76FDFBF0" w:rsidR="009E22D0" w:rsidRPr="00D62562" w:rsidRDefault="00BC26F4" w:rsidP="00B6556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1459DA" w:rsidRPr="00B65565">
              <w:rPr>
                <w:rFonts w:ascii="Arial" w:eastAsia="Calibri" w:hAnsi="Arial" w:cs="Arial"/>
                <w:sz w:val="20"/>
                <w:szCs w:val="20"/>
              </w:rPr>
              <w:t xml:space="preserve">upport the </w:t>
            </w:r>
            <w:r w:rsidR="00B65565" w:rsidRPr="00B65565">
              <w:rPr>
                <w:rFonts w:ascii="Arial" w:eastAsia="Calibri" w:hAnsi="Arial" w:cs="Arial"/>
                <w:sz w:val="20"/>
                <w:szCs w:val="20"/>
              </w:rPr>
              <w:t xml:space="preserve">Finance </w:t>
            </w:r>
            <w:r w:rsidR="00B65565">
              <w:rPr>
                <w:rFonts w:ascii="Arial" w:eastAsia="Calibri" w:hAnsi="Arial" w:cs="Arial"/>
                <w:sz w:val="20"/>
                <w:szCs w:val="20"/>
              </w:rPr>
              <w:t>divis</w:t>
            </w:r>
            <w:r w:rsidR="006F54B6">
              <w:rPr>
                <w:rFonts w:ascii="Arial" w:eastAsia="Calibri" w:hAnsi="Arial" w:cs="Arial"/>
                <w:sz w:val="20"/>
                <w:szCs w:val="20"/>
              </w:rPr>
              <w:t>ion</w:t>
            </w:r>
            <w:r w:rsidR="001459DA" w:rsidRPr="00B65565">
              <w:rPr>
                <w:rFonts w:ascii="Arial" w:eastAsia="Calibri" w:hAnsi="Arial" w:cs="Arial"/>
                <w:sz w:val="20"/>
                <w:szCs w:val="20"/>
              </w:rPr>
              <w:t xml:space="preserve"> to ensure fair treatment and outcomes for colleagues and the organisation ensuring compliance with associated policies.</w:t>
            </w:r>
          </w:p>
          <w:p w14:paraId="0C837D4E" w14:textId="77777777" w:rsidR="00D62562" w:rsidRPr="00B75089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6AD5BB" w14:textId="77777777" w:rsidR="001459DA" w:rsidRPr="001459DA" w:rsidRDefault="001459DA" w:rsidP="001459D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C9629D8" w14:textId="77777777" w:rsidR="001459DA" w:rsidRPr="001459DA" w:rsidRDefault="001459DA" w:rsidP="001459D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59DA">
              <w:rPr>
                <w:rFonts w:ascii="Arial" w:hAnsi="Arial" w:cs="Arial"/>
                <w:sz w:val="20"/>
                <w:szCs w:val="20"/>
              </w:rPr>
              <w:t>Policy compliance audit results</w:t>
            </w:r>
          </w:p>
          <w:p w14:paraId="67D0252C" w14:textId="77777777" w:rsidR="009E22D0" w:rsidRPr="00644BB2" w:rsidRDefault="009E22D0" w:rsidP="0030020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03EDBA0" w14:textId="77777777" w:rsidTr="009E22D0">
        <w:trPr>
          <w:trHeight w:val="591"/>
        </w:trPr>
        <w:tc>
          <w:tcPr>
            <w:tcW w:w="6346" w:type="dxa"/>
          </w:tcPr>
          <w:p w14:paraId="21B1516C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A8D6B6F" w14:textId="77777777" w:rsidR="009E22D0" w:rsidRDefault="00644BB2" w:rsidP="00644B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0E5F5AF1" w14:textId="77777777" w:rsidR="00D62562" w:rsidRPr="00644BB2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B308C50" w14:textId="77777777"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83E52E" w14:textId="77777777" w:rsidR="00644BB2" w:rsidRPr="00644BB2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</w:t>
            </w:r>
            <w:r w:rsidR="00135F78">
              <w:rPr>
                <w:rFonts w:ascii="Arial" w:hAnsi="Arial" w:cs="Arial"/>
                <w:sz w:val="20"/>
                <w:szCs w:val="20"/>
              </w:rPr>
              <w:t>-</w:t>
            </w:r>
            <w:r w:rsidRPr="00644BB2">
              <w:rPr>
                <w:rFonts w:ascii="Arial" w:hAnsi="Arial" w:cs="Arial"/>
                <w:sz w:val="20"/>
                <w:szCs w:val="20"/>
              </w:rPr>
              <w:t>to</w:t>
            </w:r>
            <w:r w:rsidR="00135F78">
              <w:rPr>
                <w:rFonts w:ascii="Arial" w:hAnsi="Arial" w:cs="Arial"/>
                <w:sz w:val="20"/>
                <w:szCs w:val="20"/>
              </w:rPr>
              <w:t>-</w:t>
            </w:r>
            <w:r w:rsidRPr="00644BB2">
              <w:rPr>
                <w:rFonts w:ascii="Arial" w:hAnsi="Arial" w:cs="Arial"/>
                <w:sz w:val="20"/>
                <w:szCs w:val="20"/>
              </w:rPr>
              <w:t>one / performance review meetings Vs Plan</w:t>
            </w:r>
          </w:p>
          <w:p w14:paraId="2EFBE2F7" w14:textId="77777777" w:rsidR="009E22D0" w:rsidRPr="00B75089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C3F301A" w14:textId="77777777" w:rsidTr="009E22D0">
        <w:trPr>
          <w:trHeight w:val="591"/>
        </w:trPr>
        <w:tc>
          <w:tcPr>
            <w:tcW w:w="6346" w:type="dxa"/>
          </w:tcPr>
          <w:p w14:paraId="567C3DF3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7616F49" w14:textId="13093FCF" w:rsidR="001459DA" w:rsidRPr="00300203" w:rsidRDefault="00BC26F4" w:rsidP="0030020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  <w:r w:rsidR="001459DA" w:rsidRPr="001459DA">
              <w:rPr>
                <w:rFonts w:ascii="Arial" w:hAnsi="Arial" w:cs="Arial"/>
                <w:sz w:val="20"/>
                <w:szCs w:val="20"/>
              </w:rPr>
              <w:t xml:space="preserve"> an environment where all colleagues in </w:t>
            </w:r>
            <w:r w:rsidR="006F54B6">
              <w:rPr>
                <w:rFonts w:ascii="Arial" w:hAnsi="Arial" w:cs="Arial"/>
                <w:sz w:val="20"/>
                <w:szCs w:val="20"/>
              </w:rPr>
              <w:t>Finance</w:t>
            </w:r>
            <w:r w:rsidR="001459DA" w:rsidRPr="001459DA">
              <w:rPr>
                <w:rFonts w:ascii="Arial" w:hAnsi="Arial" w:cs="Arial"/>
                <w:sz w:val="20"/>
                <w:szCs w:val="20"/>
              </w:rPr>
              <w:t xml:space="preserve"> recognise the importance of risk identification and </w:t>
            </w:r>
            <w:r w:rsidR="00135F78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1459DA" w:rsidRPr="001459DA">
              <w:rPr>
                <w:rFonts w:ascii="Arial" w:hAnsi="Arial" w:cs="Arial"/>
                <w:sz w:val="20"/>
                <w:szCs w:val="20"/>
              </w:rPr>
              <w:t>management</w:t>
            </w:r>
          </w:p>
          <w:p w14:paraId="6FF745D1" w14:textId="77777777" w:rsidR="009E22D0" w:rsidRDefault="00644BB2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6F54B6">
              <w:rPr>
                <w:rFonts w:ascii="Arial" w:eastAsia="Calibri" w:hAnsi="Arial" w:cs="Arial"/>
                <w:sz w:val="20"/>
                <w:szCs w:val="20"/>
              </w:rPr>
              <w:t>Finance</w:t>
            </w:r>
            <w:r w:rsidR="00135F78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C593B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</w:t>
            </w:r>
            <w:r w:rsidR="00135F78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to enable resolution and mitigation of potential impact on MPS, members and colleagues.</w:t>
            </w:r>
          </w:p>
          <w:p w14:paraId="7C3E5E54" w14:textId="77777777" w:rsidR="00D62562" w:rsidRPr="00644BB2" w:rsidRDefault="00D62562" w:rsidP="00D62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FB5C302" w14:textId="77777777"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B0725B9" w14:textId="77777777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7F25460F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EA82D69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3FDADE0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4511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4FEAD4D" w14:textId="77777777" w:rsidTr="00FF16B8">
        <w:trPr>
          <w:trHeight w:val="693"/>
        </w:trPr>
        <w:tc>
          <w:tcPr>
            <w:tcW w:w="10490" w:type="dxa"/>
          </w:tcPr>
          <w:p w14:paraId="04E2DC41" w14:textId="7541B385" w:rsidR="00E420EE" w:rsidRDefault="00E420EE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 xml:space="preserve">Working with </w:t>
            </w:r>
            <w:r w:rsidR="00E5658B">
              <w:rPr>
                <w:rFonts w:ascii="Arial" w:hAnsi="Arial" w:cs="Arial"/>
                <w:sz w:val="20"/>
                <w:szCs w:val="20"/>
              </w:rPr>
              <w:t>Accounting &amp; Financial Reporting Manager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5419">
              <w:rPr>
                <w:rFonts w:ascii="Arial" w:hAnsi="Arial" w:cs="Arial"/>
                <w:sz w:val="20"/>
                <w:szCs w:val="20"/>
              </w:rPr>
              <w:t>Group Financial Controller</w:t>
            </w:r>
            <w:r w:rsidR="007F2D9D">
              <w:rPr>
                <w:rFonts w:ascii="Arial" w:hAnsi="Arial" w:cs="Arial"/>
                <w:sz w:val="20"/>
                <w:szCs w:val="20"/>
              </w:rPr>
              <w:t>, Head of Insurance Operations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 xml:space="preserve">and other stakeholders 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to deliver </w:t>
            </w:r>
            <w:r w:rsidR="00135F78" w:rsidRPr="00525419">
              <w:rPr>
                <w:rFonts w:ascii="Arial" w:hAnsi="Arial" w:cs="Arial"/>
                <w:sz w:val="20"/>
                <w:szCs w:val="20"/>
              </w:rPr>
              <w:t xml:space="preserve">the annual financial statements. </w:t>
            </w:r>
          </w:p>
          <w:p w14:paraId="608C5DE9" w14:textId="687E5427" w:rsidR="009F12A2" w:rsidRPr="009F12A2" w:rsidRDefault="009F12A2" w:rsidP="009F12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 xml:space="preserve">Review of one-off accounting events to ensure appropriate </w:t>
            </w:r>
            <w:r>
              <w:rPr>
                <w:rFonts w:ascii="Arial" w:hAnsi="Arial" w:cs="Arial"/>
                <w:sz w:val="20"/>
                <w:szCs w:val="20"/>
              </w:rPr>
              <w:t>treatment/</w:t>
            </w:r>
            <w:r w:rsidRPr="00525419">
              <w:rPr>
                <w:rFonts w:ascii="Arial" w:hAnsi="Arial" w:cs="Arial"/>
                <w:sz w:val="20"/>
                <w:szCs w:val="20"/>
              </w:rPr>
              <w:t>recognition.</w:t>
            </w:r>
          </w:p>
          <w:p w14:paraId="3FB2D411" w14:textId="1EE78550" w:rsidR="002D4A77" w:rsidRPr="00525419" w:rsidRDefault="00E420EE" w:rsidP="005254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 xml:space="preserve">Hands on support to the </w:t>
            </w:r>
            <w:r w:rsidR="006325B9">
              <w:rPr>
                <w:rFonts w:ascii="Arial" w:hAnsi="Arial" w:cs="Arial"/>
                <w:sz w:val="20"/>
                <w:szCs w:val="20"/>
              </w:rPr>
              <w:t>other business functions</w:t>
            </w:r>
            <w:r w:rsidRPr="00525419">
              <w:rPr>
                <w:rFonts w:ascii="Arial" w:hAnsi="Arial" w:cs="Arial"/>
                <w:sz w:val="20"/>
                <w:szCs w:val="20"/>
              </w:rPr>
              <w:t xml:space="preserve"> to ensure </w:t>
            </w:r>
            <w:r w:rsidR="009F12A2" w:rsidRPr="009F12A2">
              <w:rPr>
                <w:rFonts w:ascii="Arial" w:hAnsi="Arial" w:cs="Arial"/>
                <w:sz w:val="20"/>
                <w:szCs w:val="20"/>
              </w:rPr>
              <w:t xml:space="preserve">correct allocation of cost </w:t>
            </w:r>
            <w:r w:rsidR="00A7731C" w:rsidRPr="00525419">
              <w:rPr>
                <w:rFonts w:ascii="Arial" w:hAnsi="Arial" w:cs="Arial"/>
                <w:sz w:val="20"/>
                <w:szCs w:val="20"/>
              </w:rPr>
              <w:t>appropriate treatment of transactions</w:t>
            </w:r>
            <w:r w:rsidR="009F12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93936" w14:textId="0DF40EB7" w:rsidR="009F12A2" w:rsidRDefault="009F12A2" w:rsidP="009F12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Connecting with the wider Finance Division to ensure that reporting requirements and deadlines, both internally and externally, are met.</w:t>
            </w:r>
          </w:p>
          <w:p w14:paraId="23D92C4C" w14:textId="28D6B536" w:rsidR="007F2D9D" w:rsidRPr="00B63146" w:rsidRDefault="00BC26F4" w:rsidP="00B6314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and document new processes related to expanding activities within the regulated environment.</w:t>
            </w:r>
          </w:p>
          <w:p w14:paraId="1CE85F8A" w14:textId="31329D66" w:rsidR="00BC26F4" w:rsidRPr="00525419" w:rsidRDefault="00BC26F4" w:rsidP="009F12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Liaising with regulated third parties to ensure adherence with minimum standards and improvement of best practice across the Group.</w:t>
            </w:r>
          </w:p>
          <w:p w14:paraId="38449AB1" w14:textId="77777777" w:rsidR="009F12A2" w:rsidRPr="00525419" w:rsidRDefault="009F12A2" w:rsidP="009F12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Working with the Financial Planning and Analysis Manager to prepare and review monthly management reports and providing challenge on outputs compared to known events and historical trends.</w:t>
            </w:r>
          </w:p>
          <w:p w14:paraId="3AEF5C7B" w14:textId="77777777" w:rsidR="009F12A2" w:rsidRPr="00525419" w:rsidRDefault="009F12A2" w:rsidP="009F12A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525419">
              <w:rPr>
                <w:rFonts w:ascii="Arial" w:hAnsi="Arial" w:cs="Arial"/>
                <w:sz w:val="20"/>
                <w:szCs w:val="20"/>
              </w:rPr>
              <w:t>Undertaking other duties and tasks that from time–to-time may be allocated to the role holder that are appropriate to the level or role.</w:t>
            </w:r>
          </w:p>
          <w:p w14:paraId="4ED1783D" w14:textId="1BDE1C1D" w:rsidR="00E420EE" w:rsidRPr="006325B9" w:rsidRDefault="00E420EE" w:rsidP="009F12A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88CCD" w14:textId="77777777" w:rsidR="007F2D9D" w:rsidRPr="00B75089" w:rsidRDefault="007F2D9D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FEC6875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800F6D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B98AA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6C51E48" w14:textId="77777777" w:rsidTr="00937A03">
        <w:trPr>
          <w:trHeight w:val="444"/>
        </w:trPr>
        <w:tc>
          <w:tcPr>
            <w:tcW w:w="10490" w:type="dxa"/>
          </w:tcPr>
          <w:p w14:paraId="6B701AE8" w14:textId="013AAA05" w:rsidR="005542D1" w:rsidRPr="00300203" w:rsidRDefault="00157E10" w:rsidP="00300203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</w:t>
            </w:r>
            <w:r w:rsidR="009F12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F12A2">
              <w:rPr>
                <w:rFonts w:ascii="Arial" w:hAnsi="Arial" w:cs="Arial"/>
                <w:sz w:val="20"/>
                <w:szCs w:val="20"/>
              </w:rPr>
              <w:t xml:space="preserve">nsurance </w:t>
            </w:r>
            <w:r>
              <w:rPr>
                <w:rFonts w:ascii="Arial" w:hAnsi="Arial" w:cs="Arial"/>
                <w:sz w:val="20"/>
                <w:szCs w:val="20"/>
              </w:rPr>
              <w:t>oversight committees and relevant steering groups.</w:t>
            </w:r>
          </w:p>
        </w:tc>
      </w:tr>
    </w:tbl>
    <w:p w14:paraId="57E97359" w14:textId="7490D9F1" w:rsidR="001459DA" w:rsidRDefault="001459DA" w:rsidP="00B75089">
      <w:pPr>
        <w:spacing w:line="240" w:lineRule="auto"/>
        <w:rPr>
          <w:rFonts w:ascii="Arial" w:hAnsi="Arial" w:cs="Arial"/>
        </w:rPr>
      </w:pPr>
    </w:p>
    <w:p w14:paraId="7405F0A7" w14:textId="22EE2B7C" w:rsidR="00E5658B" w:rsidRDefault="00E5658B" w:rsidP="00B75089">
      <w:pPr>
        <w:spacing w:line="240" w:lineRule="auto"/>
        <w:rPr>
          <w:rFonts w:ascii="Arial" w:hAnsi="Arial" w:cs="Arial"/>
        </w:rPr>
      </w:pPr>
    </w:p>
    <w:p w14:paraId="2606EE6B" w14:textId="77777777" w:rsidR="00E5658B" w:rsidRPr="00B75089" w:rsidRDefault="00E5658B" w:rsidP="00B75089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6C730B9E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F92458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2FA8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0D1F1D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6EAE4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12DE125C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192CAABD" w14:textId="77777777" w:rsidTr="00FF16B8">
        <w:trPr>
          <w:trHeight w:val="211"/>
        </w:trPr>
        <w:tc>
          <w:tcPr>
            <w:tcW w:w="6008" w:type="dxa"/>
          </w:tcPr>
          <w:p w14:paraId="14918F1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F2AD4A6" w14:textId="77777777" w:rsidR="0056188D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1" w:name="Dropdown1"/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5658B">
              <w:rPr>
                <w:rFonts w:ascii="Arial" w:hAnsi="Arial" w:cs="Arial"/>
                <w:sz w:val="20"/>
                <w:szCs w:val="20"/>
              </w:rPr>
            </w:r>
            <w:r w:rsidR="00E565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D18E8" w:rsidRPr="00B75089" w14:paraId="66E3B5CE" w14:textId="77777777" w:rsidTr="00FF16B8">
        <w:trPr>
          <w:trHeight w:val="211"/>
        </w:trPr>
        <w:tc>
          <w:tcPr>
            <w:tcW w:w="6008" w:type="dxa"/>
          </w:tcPr>
          <w:p w14:paraId="619EE49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7B5073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5658B">
              <w:rPr>
                <w:rFonts w:ascii="Arial" w:hAnsi="Arial" w:cs="Arial"/>
                <w:sz w:val="20"/>
                <w:szCs w:val="20"/>
              </w:rPr>
            </w:r>
            <w:r w:rsidR="00E565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3AEA41DB" w14:textId="77777777" w:rsidTr="00FF16B8">
        <w:trPr>
          <w:trHeight w:val="211"/>
        </w:trPr>
        <w:tc>
          <w:tcPr>
            <w:tcW w:w="6008" w:type="dxa"/>
          </w:tcPr>
          <w:p w14:paraId="48C2895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A1B787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5658B">
              <w:rPr>
                <w:rFonts w:ascii="Arial" w:hAnsi="Arial" w:cs="Arial"/>
                <w:sz w:val="20"/>
                <w:szCs w:val="20"/>
              </w:rPr>
            </w:r>
            <w:r w:rsidR="00E565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6D4459C" w14:textId="77777777" w:rsidTr="00FF16B8">
        <w:trPr>
          <w:trHeight w:val="211"/>
        </w:trPr>
        <w:tc>
          <w:tcPr>
            <w:tcW w:w="6008" w:type="dxa"/>
          </w:tcPr>
          <w:p w14:paraId="47ED3E5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37E140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5658B">
              <w:rPr>
                <w:rFonts w:ascii="Arial" w:hAnsi="Arial" w:cs="Arial"/>
                <w:sz w:val="20"/>
                <w:szCs w:val="20"/>
              </w:rPr>
            </w:r>
            <w:r w:rsidR="00E565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94647DC" w14:textId="77777777" w:rsidTr="00FF16B8">
        <w:trPr>
          <w:trHeight w:val="211"/>
        </w:trPr>
        <w:tc>
          <w:tcPr>
            <w:tcW w:w="6008" w:type="dxa"/>
          </w:tcPr>
          <w:p w14:paraId="587F5A7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28BF986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5658B">
              <w:rPr>
                <w:rFonts w:ascii="Arial" w:hAnsi="Arial" w:cs="Arial"/>
                <w:sz w:val="20"/>
                <w:szCs w:val="20"/>
              </w:rPr>
            </w:r>
            <w:r w:rsidR="00E565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C9756A5" w14:textId="77777777" w:rsidTr="00FF16B8">
        <w:trPr>
          <w:trHeight w:val="211"/>
        </w:trPr>
        <w:tc>
          <w:tcPr>
            <w:tcW w:w="6008" w:type="dxa"/>
          </w:tcPr>
          <w:p w14:paraId="783FB5B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F2AEB7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E5658B">
              <w:rPr>
                <w:rFonts w:ascii="Arial" w:hAnsi="Arial" w:cs="Arial"/>
                <w:sz w:val="20"/>
                <w:szCs w:val="20"/>
              </w:rPr>
            </w:r>
            <w:r w:rsidR="00E565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544"/>
        <w:gridCol w:w="3969"/>
      </w:tblGrid>
      <w:tr w:rsidR="00FF16B8" w:rsidRPr="00B75089" w14:paraId="676B091B" w14:textId="77777777" w:rsidTr="0052541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04E3D6C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33B44ED0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740615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BE265D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D1B47E2" w14:textId="77777777" w:rsidTr="0052541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10493CA2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4A653E97" w14:textId="28D8D0ED" w:rsidR="00C017D7" w:rsidRDefault="00BC26F4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ACA qualified</w:t>
            </w:r>
            <w:r w:rsidR="006325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A68E4">
              <w:rPr>
                <w:rFonts w:ascii="Arial" w:eastAsia="Calibri" w:hAnsi="Arial" w:cs="Arial"/>
                <w:sz w:val="20"/>
                <w:szCs w:val="20"/>
              </w:rPr>
              <w:t>(or similar)</w:t>
            </w:r>
          </w:p>
          <w:p w14:paraId="7852A633" w14:textId="496BDF60" w:rsidR="00C017D7" w:rsidRPr="00E420EE" w:rsidRDefault="00C017D7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 I.T. skills including a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good </w:t>
            </w:r>
            <w:r w:rsidRPr="00E420EE">
              <w:rPr>
                <w:rFonts w:ascii="Arial" w:eastAsia="Calibri" w:hAnsi="Arial" w:cs="Arial"/>
                <w:sz w:val="20"/>
                <w:szCs w:val="20"/>
              </w:rPr>
              <w:t xml:space="preserve">working knowledge of Word, Excel, Outlook and </w:t>
            </w:r>
            <w:proofErr w:type="spellStart"/>
            <w:r w:rsidRPr="00E420EE"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proofErr w:type="spellEnd"/>
            <w:r w:rsidRPr="00E420E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4A7D4F0" w14:textId="41AE195C" w:rsidR="00E40AC5" w:rsidRPr="00E420EE" w:rsidRDefault="00E40AC5" w:rsidP="00C017D7">
            <w:pPr>
              <w:pStyle w:val="ListParagraph"/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927CE3" w14:textId="563A09A9" w:rsidR="00C017D7" w:rsidRPr="00C017D7" w:rsidRDefault="00C017D7" w:rsidP="00C017D7">
            <w:pPr>
              <w:pStyle w:val="ListParagraph"/>
              <w:numPr>
                <w:ilvl w:val="0"/>
                <w:numId w:val="5"/>
              </w:numPr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C017D7">
              <w:rPr>
                <w:rFonts w:ascii="Arial" w:eastAsia="Calibri" w:hAnsi="Arial" w:cs="Arial"/>
                <w:sz w:val="20"/>
                <w:szCs w:val="20"/>
              </w:rPr>
              <w:t>Innovative, flexible self-starter with excellent and proven analytical skills</w:t>
            </w:r>
          </w:p>
          <w:p w14:paraId="15A0DCF9" w14:textId="52E08671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Highly numerate</w:t>
            </w:r>
          </w:p>
          <w:p w14:paraId="5749F181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4AC2D2C8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09513788" w14:textId="77777777" w:rsidR="00E40AC5" w:rsidRPr="00E420EE" w:rsidRDefault="00E420EE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>trong analytical skills.</w:t>
            </w:r>
          </w:p>
          <w:p w14:paraId="26FDE84E" w14:textId="18A9DF9D" w:rsidR="00E00ED7" w:rsidRDefault="00E420EE" w:rsidP="007F2D9D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B65565" w:rsidRPr="00E420EE">
              <w:rPr>
                <w:rFonts w:ascii="Arial" w:eastAsia="Calibri" w:hAnsi="Arial" w:cs="Arial"/>
                <w:sz w:val="20"/>
                <w:szCs w:val="20"/>
              </w:rPr>
              <w:t xml:space="preserve">trong inter-personal skills </w:t>
            </w:r>
          </w:p>
          <w:p w14:paraId="47F43B9A" w14:textId="51BEC9B8" w:rsidR="007F2D9D" w:rsidRPr="007F2D9D" w:rsidRDefault="007F2D9D" w:rsidP="007F2D9D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Accounting for insurance</w:t>
            </w:r>
          </w:p>
          <w:p w14:paraId="2CD8164E" w14:textId="77777777" w:rsidR="00B65565" w:rsidRPr="00E420EE" w:rsidRDefault="00B65565" w:rsidP="00C017D7">
            <w:pPr>
              <w:spacing w:after="0"/>
              <w:ind w:left="347" w:hanging="2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E0116C" w14:textId="77777777" w:rsidR="009F12A2" w:rsidRPr="00E420EE" w:rsidRDefault="009F12A2" w:rsidP="009F12A2">
            <w:pPr>
              <w:pStyle w:val="ListParagraph"/>
              <w:numPr>
                <w:ilvl w:val="0"/>
                <w:numId w:val="5"/>
              </w:numPr>
              <w:spacing w:after="0"/>
              <w:ind w:left="347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Experience of working in a similar role as part of a finance team is essential</w:t>
            </w:r>
          </w:p>
          <w:p w14:paraId="37092391" w14:textId="14B7D59D" w:rsidR="009F12A2" w:rsidRDefault="009F12A2" w:rsidP="009F12A2">
            <w:pPr>
              <w:pStyle w:val="ListParagraph"/>
              <w:numPr>
                <w:ilvl w:val="0"/>
                <w:numId w:val="5"/>
              </w:numPr>
              <w:spacing w:after="0"/>
              <w:ind w:left="347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Significant previous experience of production of reconciliations including identifying and resolving the resulting querie</w:t>
            </w:r>
            <w:r w:rsidR="00BC26F4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74A64884" w14:textId="7F9F4F8E" w:rsidR="009F12A2" w:rsidRDefault="009F12A2" w:rsidP="009F12A2">
            <w:pPr>
              <w:pStyle w:val="ListParagraph"/>
              <w:numPr>
                <w:ilvl w:val="0"/>
                <w:numId w:val="5"/>
              </w:numPr>
              <w:spacing w:after="0"/>
              <w:ind w:left="347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Preparation of statutory financial statements under UK Financial reporting </w:t>
            </w:r>
            <w:r w:rsidR="00BC26F4">
              <w:rPr>
                <w:rFonts w:ascii="Arial" w:eastAsia="Calibri" w:hAnsi="Arial" w:cs="Arial"/>
                <w:sz w:val="20"/>
                <w:szCs w:val="20"/>
              </w:rPr>
              <w:t>standards</w:t>
            </w:r>
            <w:r w:rsidR="007F2D9D">
              <w:rPr>
                <w:rFonts w:ascii="Arial" w:eastAsia="Calibri" w:hAnsi="Arial" w:cs="Arial"/>
                <w:sz w:val="20"/>
                <w:szCs w:val="20"/>
              </w:rPr>
              <w:t xml:space="preserve"> including FRS 102 and FRS 103</w:t>
            </w:r>
          </w:p>
          <w:p w14:paraId="1DBC038F" w14:textId="5B104377" w:rsidR="007F2D9D" w:rsidRDefault="007F2D9D" w:rsidP="009F12A2">
            <w:pPr>
              <w:pStyle w:val="ListParagraph"/>
              <w:numPr>
                <w:ilvl w:val="0"/>
                <w:numId w:val="5"/>
              </w:numPr>
              <w:spacing w:after="0"/>
              <w:ind w:left="347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3A3ACE">
              <w:rPr>
                <w:rFonts w:ascii="Arial" w:eastAsia="Calibri" w:hAnsi="Arial" w:cs="Arial"/>
                <w:sz w:val="20"/>
                <w:szCs w:val="20"/>
              </w:rPr>
              <w:t>Experience of risk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3A3ACE">
              <w:rPr>
                <w:rFonts w:ascii="Arial" w:eastAsia="Calibri" w:hAnsi="Arial" w:cs="Arial"/>
                <w:sz w:val="20"/>
                <w:szCs w:val="20"/>
              </w:rPr>
              <w:t>based businesses, e.g. insuranc</w:t>
            </w:r>
            <w:r>
              <w:rPr>
                <w:rFonts w:ascii="Arial" w:eastAsia="Calibri" w:hAnsi="Arial" w:cs="Arial"/>
                <w:sz w:val="20"/>
                <w:szCs w:val="20"/>
              </w:rPr>
              <w:t>e or other regulated environments</w:t>
            </w:r>
          </w:p>
          <w:p w14:paraId="3BE64CBB" w14:textId="77777777" w:rsidR="00E24D78" w:rsidRPr="009F12A2" w:rsidRDefault="00E24D78" w:rsidP="00E24D78">
            <w:pPr>
              <w:pStyle w:val="ListParagraph"/>
              <w:numPr>
                <w:ilvl w:val="0"/>
                <w:numId w:val="5"/>
              </w:numPr>
              <w:spacing w:after="0"/>
              <w:ind w:left="347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F12A2">
              <w:rPr>
                <w:rFonts w:ascii="Arial" w:eastAsia="Calibri" w:hAnsi="Arial" w:cs="Arial"/>
                <w:sz w:val="20"/>
                <w:szCs w:val="20"/>
              </w:rPr>
              <w:t>Calculation of sales taxes payable (e.g. VAT)</w:t>
            </w:r>
          </w:p>
          <w:p w14:paraId="030C9056" w14:textId="77777777" w:rsidR="00E24D78" w:rsidRDefault="009F12A2" w:rsidP="00E24D78">
            <w:pPr>
              <w:pStyle w:val="ListParagraph"/>
              <w:numPr>
                <w:ilvl w:val="0"/>
                <w:numId w:val="5"/>
              </w:numPr>
              <w:spacing w:after="0"/>
              <w:ind w:left="347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Involvement in the improvement of systems and/or processes</w:t>
            </w:r>
            <w:r w:rsidR="00E24D78" w:rsidRPr="009F12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BA39D4E" w14:textId="77777777" w:rsidR="00E24D78" w:rsidRDefault="00E24D78" w:rsidP="00E24D78">
            <w:pPr>
              <w:pStyle w:val="ListParagraph"/>
              <w:numPr>
                <w:ilvl w:val="0"/>
                <w:numId w:val="5"/>
              </w:numPr>
              <w:spacing w:after="0"/>
              <w:ind w:left="347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F12A2">
              <w:rPr>
                <w:rFonts w:ascii="Arial" w:eastAsia="Calibri" w:hAnsi="Arial" w:cs="Arial"/>
                <w:sz w:val="20"/>
                <w:szCs w:val="20"/>
              </w:rPr>
              <w:t>Involvement in the budget process</w:t>
            </w:r>
          </w:p>
          <w:p w14:paraId="1E3E0A3B" w14:textId="2A38DDCD" w:rsidR="002D4A77" w:rsidRPr="00E420EE" w:rsidRDefault="002D4A77" w:rsidP="00E24D78">
            <w:pPr>
              <w:pStyle w:val="ListParagraph"/>
              <w:spacing w:after="0"/>
              <w:ind w:left="34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B75089" w14:paraId="1D8B25FD" w14:textId="77777777" w:rsidTr="003A3ACE">
        <w:trPr>
          <w:cantSplit/>
          <w:trHeight w:val="140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AA189C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122EBD75" w14:textId="77777777" w:rsidR="00E40AC5" w:rsidRPr="00E420EE" w:rsidRDefault="00A7731C" w:rsidP="00C017D7">
            <w:pPr>
              <w:pStyle w:val="ListParagraph"/>
              <w:numPr>
                <w:ilvl w:val="0"/>
                <w:numId w:val="5"/>
              </w:numPr>
              <w:spacing w:after="0"/>
              <w:ind w:left="275" w:hanging="21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Operating within a service industry</w:t>
            </w:r>
          </w:p>
        </w:tc>
        <w:tc>
          <w:tcPr>
            <w:tcW w:w="3544" w:type="dxa"/>
          </w:tcPr>
          <w:p w14:paraId="2626ED26" w14:textId="77777777" w:rsidR="00E420EE" w:rsidRPr="00E420EE" w:rsidRDefault="00E420EE" w:rsidP="00C017D7">
            <w:pPr>
              <w:pStyle w:val="ListParagraph"/>
              <w:numPr>
                <w:ilvl w:val="0"/>
                <w:numId w:val="5"/>
              </w:numPr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E420EE">
              <w:rPr>
                <w:rFonts w:ascii="Arial" w:eastAsia="Calibri" w:hAnsi="Arial" w:cs="Arial"/>
                <w:sz w:val="20"/>
                <w:szCs w:val="20"/>
              </w:rPr>
              <w:t>Coda is desirable as is knowledge of investment accounting</w:t>
            </w:r>
            <w:r w:rsidR="00A7731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6494C2" w14:textId="77777777" w:rsidR="00E40AC5" w:rsidRPr="00E420EE" w:rsidRDefault="00E40AC5" w:rsidP="00C017D7">
            <w:pPr>
              <w:pStyle w:val="ListParagraph"/>
              <w:spacing w:after="0"/>
              <w:ind w:left="347" w:hanging="27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62872B" w14:textId="77777777" w:rsidR="009F12A2" w:rsidRPr="009F12A2" w:rsidRDefault="009F12A2" w:rsidP="009F12A2">
            <w:pPr>
              <w:pStyle w:val="ListParagraph"/>
              <w:numPr>
                <w:ilvl w:val="0"/>
                <w:numId w:val="5"/>
              </w:numPr>
              <w:spacing w:after="0"/>
              <w:ind w:left="347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F12A2">
              <w:rPr>
                <w:rFonts w:ascii="Arial" w:eastAsia="Calibri" w:hAnsi="Arial" w:cs="Arial"/>
                <w:sz w:val="20"/>
                <w:szCs w:val="20"/>
              </w:rPr>
              <w:t>Accounting for investments</w:t>
            </w:r>
          </w:p>
          <w:p w14:paraId="42020D48" w14:textId="77777777" w:rsidR="009F12A2" w:rsidRPr="009F12A2" w:rsidRDefault="009F12A2" w:rsidP="009F12A2">
            <w:pPr>
              <w:pStyle w:val="ListParagraph"/>
              <w:numPr>
                <w:ilvl w:val="0"/>
                <w:numId w:val="5"/>
              </w:numPr>
              <w:spacing w:after="0"/>
              <w:ind w:left="347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F12A2">
              <w:rPr>
                <w:rFonts w:ascii="Arial" w:eastAsia="Calibri" w:hAnsi="Arial" w:cs="Arial"/>
                <w:sz w:val="20"/>
                <w:szCs w:val="20"/>
              </w:rPr>
              <w:t>Production of year-end tax packs</w:t>
            </w:r>
          </w:p>
          <w:p w14:paraId="21F70BC4" w14:textId="4F5C5B3D" w:rsidR="00E40AC5" w:rsidRPr="007F2D9D" w:rsidRDefault="003A3ACE" w:rsidP="007F2D9D">
            <w:pPr>
              <w:pStyle w:val="ListParagraph"/>
              <w:numPr>
                <w:ilvl w:val="0"/>
                <w:numId w:val="5"/>
              </w:numPr>
              <w:spacing w:after="0"/>
              <w:ind w:left="347" w:hanging="271"/>
              <w:rPr>
                <w:rFonts w:ascii="Arial" w:eastAsia="Calibri" w:hAnsi="Arial" w:cs="Arial"/>
                <w:sz w:val="20"/>
                <w:szCs w:val="20"/>
              </w:rPr>
            </w:pPr>
            <w:r w:rsidRPr="003A3ACE">
              <w:rPr>
                <w:rFonts w:ascii="Arial" w:eastAsia="Calibri" w:hAnsi="Arial" w:cs="Arial"/>
                <w:sz w:val="20"/>
                <w:szCs w:val="20"/>
              </w:rPr>
              <w:t>Experience of medical defence organisations, clinical negligence claims or civil legal processes</w:t>
            </w:r>
          </w:p>
        </w:tc>
      </w:tr>
    </w:tbl>
    <w:p w14:paraId="7E3D0ED5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589C9" w14:textId="77777777" w:rsidR="0099669A" w:rsidRDefault="0099669A" w:rsidP="009E22D0">
      <w:pPr>
        <w:spacing w:after="0" w:line="240" w:lineRule="auto"/>
      </w:pPr>
      <w:r>
        <w:separator/>
      </w:r>
    </w:p>
  </w:endnote>
  <w:endnote w:type="continuationSeparator" w:id="0">
    <w:p w14:paraId="76B805AD" w14:textId="77777777" w:rsidR="0099669A" w:rsidRDefault="0099669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F7F9" w14:textId="77777777" w:rsidR="0099669A" w:rsidRDefault="0099669A" w:rsidP="009E22D0">
      <w:pPr>
        <w:spacing w:after="0" w:line="240" w:lineRule="auto"/>
      </w:pPr>
      <w:r>
        <w:separator/>
      </w:r>
    </w:p>
  </w:footnote>
  <w:footnote w:type="continuationSeparator" w:id="0">
    <w:p w14:paraId="3DB3B748" w14:textId="77777777" w:rsidR="0099669A" w:rsidRDefault="0099669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EDDE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C9E09E5" wp14:editId="55EE915F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BC4"/>
    <w:multiLevelType w:val="hybridMultilevel"/>
    <w:tmpl w:val="234E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566F"/>
    <w:multiLevelType w:val="hybridMultilevel"/>
    <w:tmpl w:val="5BC4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17802"/>
    <w:multiLevelType w:val="hybridMultilevel"/>
    <w:tmpl w:val="3E82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15"/>
  </w:num>
  <w:num w:numId="9">
    <w:abstractNumId w:val="16"/>
  </w:num>
  <w:num w:numId="10">
    <w:abstractNumId w:val="13"/>
  </w:num>
  <w:num w:numId="11">
    <w:abstractNumId w:val="4"/>
  </w:num>
  <w:num w:numId="12">
    <w:abstractNumId w:val="14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82F60"/>
    <w:rsid w:val="000E4361"/>
    <w:rsid w:val="001036A8"/>
    <w:rsid w:val="00135F78"/>
    <w:rsid w:val="001459DA"/>
    <w:rsid w:val="0015016B"/>
    <w:rsid w:val="00157E10"/>
    <w:rsid w:val="001D305E"/>
    <w:rsid w:val="001E549D"/>
    <w:rsid w:val="001F43A5"/>
    <w:rsid w:val="00202276"/>
    <w:rsid w:val="00231D2F"/>
    <w:rsid w:val="002B557F"/>
    <w:rsid w:val="002D4A77"/>
    <w:rsid w:val="002D5639"/>
    <w:rsid w:val="002D7ABB"/>
    <w:rsid w:val="00300203"/>
    <w:rsid w:val="00336105"/>
    <w:rsid w:val="00385AA3"/>
    <w:rsid w:val="003A3ACE"/>
    <w:rsid w:val="003D428C"/>
    <w:rsid w:val="00465EC4"/>
    <w:rsid w:val="00471ED6"/>
    <w:rsid w:val="004A778E"/>
    <w:rsid w:val="004D18E8"/>
    <w:rsid w:val="00525419"/>
    <w:rsid w:val="005542D1"/>
    <w:rsid w:val="0056188D"/>
    <w:rsid w:val="005C3F34"/>
    <w:rsid w:val="006219B1"/>
    <w:rsid w:val="006325B9"/>
    <w:rsid w:val="00640877"/>
    <w:rsid w:val="00644BB2"/>
    <w:rsid w:val="00666EB3"/>
    <w:rsid w:val="006F54B6"/>
    <w:rsid w:val="00711E46"/>
    <w:rsid w:val="00717094"/>
    <w:rsid w:val="00745147"/>
    <w:rsid w:val="00746C7E"/>
    <w:rsid w:val="007762EE"/>
    <w:rsid w:val="007E7CA1"/>
    <w:rsid w:val="007F2D9D"/>
    <w:rsid w:val="00813AEB"/>
    <w:rsid w:val="008234DA"/>
    <w:rsid w:val="00937A03"/>
    <w:rsid w:val="0099669A"/>
    <w:rsid w:val="009E22D0"/>
    <w:rsid w:val="009F12A2"/>
    <w:rsid w:val="00A4414A"/>
    <w:rsid w:val="00A7731C"/>
    <w:rsid w:val="00AD1A8F"/>
    <w:rsid w:val="00AD34A1"/>
    <w:rsid w:val="00B270A3"/>
    <w:rsid w:val="00B63146"/>
    <w:rsid w:val="00B65565"/>
    <w:rsid w:val="00B75089"/>
    <w:rsid w:val="00BA68E4"/>
    <w:rsid w:val="00BB529A"/>
    <w:rsid w:val="00BC26F4"/>
    <w:rsid w:val="00C017D7"/>
    <w:rsid w:val="00C46A16"/>
    <w:rsid w:val="00C91CFA"/>
    <w:rsid w:val="00D56C90"/>
    <w:rsid w:val="00D62562"/>
    <w:rsid w:val="00D87C46"/>
    <w:rsid w:val="00D95CF1"/>
    <w:rsid w:val="00DB2D9E"/>
    <w:rsid w:val="00DC593B"/>
    <w:rsid w:val="00E00ED7"/>
    <w:rsid w:val="00E24D78"/>
    <w:rsid w:val="00E40AC5"/>
    <w:rsid w:val="00E420EE"/>
    <w:rsid w:val="00E5658B"/>
    <w:rsid w:val="00EB29A6"/>
    <w:rsid w:val="00EF66CD"/>
    <w:rsid w:val="00F34F87"/>
    <w:rsid w:val="00F5319A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1E7C80"/>
  <w15:docId w15:val="{9AF83B0C-1032-4E77-B59C-892D969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5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E9BE89A0-F9C6-41A6-8B78-955EF428E0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Netherwood, Sarah</cp:lastModifiedBy>
  <cp:revision>4</cp:revision>
  <dcterms:created xsi:type="dcterms:W3CDTF">2019-12-10T19:41:00Z</dcterms:created>
  <dcterms:modified xsi:type="dcterms:W3CDTF">2020-03-17T08:49:00Z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5a79c269-daf7-4d14-ba93-f78c7a307af3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MPS Confidential</vt:lpwstr>
  </property>
  <property fmtid="{D5CDD505-2E9C-101B-9397-08002B2CF9AE}" pid="6" name="MPSClassification:">
    <vt:lpwstr>MPS Confidential</vt:lpwstr>
  </property>
  <property fmtid="{D5CDD505-2E9C-101B-9397-08002B2CF9AE}" pid="7" name="bjSaver">
    <vt:lpwstr>KkhoDxU+lGcQck+el3mT//PEGX3O/rpd</vt:lpwstr>
  </property>
</Properties>
</file>