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289"/>
        <w:gridCol w:w="1814"/>
        <w:gridCol w:w="3260"/>
      </w:tblGrid>
      <w:tr w:rsidR="00F5319A" w:rsidRPr="00B75089" w14:paraId="518CE90D" w14:textId="77777777" w:rsidTr="00130E82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8D02A95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289" w:type="dxa"/>
          </w:tcPr>
          <w:p w14:paraId="14FE7AE9" w14:textId="513CAE78" w:rsidR="00F5319A" w:rsidRPr="00B75089" w:rsidRDefault="00B87D4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D4C">
              <w:rPr>
                <w:rFonts w:ascii="Arial" w:hAnsi="Arial" w:cs="Arial"/>
                <w:sz w:val="20"/>
                <w:szCs w:val="20"/>
              </w:rPr>
              <w:t>Fund</w:t>
            </w:r>
            <w:r w:rsidR="00B86BC5" w:rsidRPr="00B87D4C">
              <w:rPr>
                <w:rFonts w:ascii="Arial" w:hAnsi="Arial" w:cs="Arial"/>
                <w:sz w:val="20"/>
                <w:szCs w:val="20"/>
              </w:rPr>
              <w:t xml:space="preserve"> Accountant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1BDFBE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074F2A0" w14:textId="33AA7F6F" w:rsidR="00F5319A" w:rsidRPr="00B75089" w:rsidRDefault="00B86BC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Reporting Manager</w:t>
            </w:r>
          </w:p>
        </w:tc>
      </w:tr>
      <w:tr w:rsidR="00F5319A" w:rsidRPr="00B75089" w14:paraId="243E9B87" w14:textId="77777777" w:rsidTr="00130E82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5D56B1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289" w:type="dxa"/>
          </w:tcPr>
          <w:p w14:paraId="077B3E1C" w14:textId="64FDF76E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E0A7457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121E01FA" w14:textId="3C27C1BB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5319A" w:rsidRPr="00B75089" w14:paraId="0EB20485" w14:textId="77777777" w:rsidTr="00130E82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10E15D5E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289" w:type="dxa"/>
            <w:vMerge w:val="restart"/>
          </w:tcPr>
          <w:p w14:paraId="0CF37D61" w14:textId="380E64A3" w:rsidR="00F5319A" w:rsidRPr="00304523" w:rsidRDefault="0030452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523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41D972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E3D883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9A085C6" w14:textId="2455E109" w:rsidR="00F5319A" w:rsidRDefault="001459DA" w:rsidP="00B72CD5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B72CD5">
              <w:rPr>
                <w:rFonts w:ascii="Arial" w:hAnsi="Arial" w:cs="Arial"/>
                <w:sz w:val="20"/>
                <w:szCs w:val="20"/>
              </w:rPr>
              <w:t>Group</w:t>
            </w:r>
          </w:p>
          <w:p w14:paraId="6E38A8D6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5F1F8C67" w14:textId="77777777" w:rsidTr="00130E82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E640FA6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3FB9290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D679D3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4B078FF0" w14:textId="2B9E3D20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7C29CA2B" w14:textId="3ECFFA51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A3DC79C" w14:textId="70349A8D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CD5">
              <w:rPr>
                <w:rFonts w:ascii="Arial" w:hAnsi="Arial" w:cs="Arial"/>
                <w:sz w:val="20"/>
                <w:szCs w:val="20"/>
              </w:rPr>
              <w:t>I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ncome</w:t>
            </w:r>
          </w:p>
        </w:tc>
      </w:tr>
      <w:tr w:rsidR="00F5319A" w:rsidRPr="00B75089" w14:paraId="1A60CEAD" w14:textId="77777777" w:rsidTr="00130E82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85A385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14:paraId="183125A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07F01D1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3756999" w14:textId="389B904E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D886322" w14:textId="77777777" w:rsidTr="00130E82">
        <w:trPr>
          <w:trHeight w:val="283"/>
        </w:trPr>
        <w:tc>
          <w:tcPr>
            <w:tcW w:w="2127" w:type="dxa"/>
            <w:shd w:val="clear" w:color="auto" w:fill="D9D9D9" w:themeFill="background1" w:themeFillShade="D9"/>
          </w:tcPr>
          <w:p w14:paraId="0EE5904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289" w:type="dxa"/>
          </w:tcPr>
          <w:p w14:paraId="17DBB315" w14:textId="16722324" w:rsidR="007E7CA1" w:rsidRPr="00B72CD5" w:rsidRDefault="000E42F9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 1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271D936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44A6C961" w14:textId="0D951276" w:rsidR="007E7CA1" w:rsidRPr="00B75089" w:rsidRDefault="00B72CD5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523"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Services</w:t>
            </w:r>
          </w:p>
        </w:tc>
      </w:tr>
    </w:tbl>
    <w:p w14:paraId="044FE17A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599CCA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0789BBC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6369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9BFE801" w14:textId="77777777" w:rsidTr="009E22D0">
        <w:trPr>
          <w:trHeight w:val="693"/>
        </w:trPr>
        <w:tc>
          <w:tcPr>
            <w:tcW w:w="10509" w:type="dxa"/>
          </w:tcPr>
          <w:p w14:paraId="69202C12" w14:textId="1419E3E9" w:rsidR="004A1F5C" w:rsidRPr="00B87D4C" w:rsidRDefault="004A1F5C" w:rsidP="007762E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87D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87D4C" w:rsidRPr="00B87D4C">
              <w:rPr>
                <w:rFonts w:ascii="Arial" w:hAnsi="Arial" w:cs="Arial"/>
                <w:sz w:val="20"/>
                <w:szCs w:val="20"/>
              </w:rPr>
              <w:t>Fund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 Accountant is responsible for the daily, weekly, and monthly accounting and reporting functions for the £3bn portfolio of investment funds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 held by the MPS Group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This role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>will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 maintain accurate financial records, prepar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>e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 NAV calculations, manag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>e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 investor allocations alongside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7D4C">
              <w:rPr>
                <w:rFonts w:ascii="Arial" w:hAnsi="Arial" w:cs="Arial"/>
                <w:sz w:val="20"/>
                <w:szCs w:val="20"/>
              </w:rPr>
              <w:t>Treasury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Pr="00B87D4C">
              <w:rPr>
                <w:rFonts w:ascii="Arial" w:hAnsi="Arial" w:cs="Arial"/>
                <w:sz w:val="20"/>
                <w:szCs w:val="20"/>
              </w:rPr>
              <w:t>, and ensur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compliance with internal controls.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It requires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knowledge of investment products and fund structures, 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strong analytical skills, </w:t>
            </w:r>
            <w:r w:rsidR="00B72CD5" w:rsidRPr="00B87D4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87D4C">
              <w:rPr>
                <w:rFonts w:ascii="Arial" w:hAnsi="Arial" w:cs="Arial"/>
                <w:sz w:val="20"/>
                <w:szCs w:val="20"/>
              </w:rPr>
              <w:t>attention to detail.</w:t>
            </w:r>
          </w:p>
          <w:p w14:paraId="299266EF" w14:textId="5C24D0EA" w:rsidR="00781F88" w:rsidRDefault="001D305E" w:rsidP="00DA7D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87D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87D4C" w:rsidRPr="00B87D4C">
              <w:rPr>
                <w:rFonts w:ascii="Arial" w:hAnsi="Arial" w:cs="Arial"/>
                <w:sz w:val="20"/>
                <w:szCs w:val="20"/>
              </w:rPr>
              <w:t>Fund</w:t>
            </w:r>
            <w:r w:rsidR="00E44705" w:rsidRPr="00B87D4C">
              <w:rPr>
                <w:rFonts w:ascii="Arial" w:hAnsi="Arial" w:cs="Arial"/>
                <w:sz w:val="20"/>
                <w:szCs w:val="20"/>
              </w:rPr>
              <w:t xml:space="preserve"> Accountant</w:t>
            </w:r>
            <w:r w:rsidRPr="00B87D4C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7762EE" w:rsidRPr="00B87D4C">
              <w:rPr>
                <w:rFonts w:ascii="Arial" w:hAnsi="Arial" w:cs="Arial"/>
                <w:sz w:val="20"/>
                <w:szCs w:val="20"/>
              </w:rPr>
              <w:t>play an active</w:t>
            </w:r>
            <w:r w:rsidR="007762EE">
              <w:rPr>
                <w:rFonts w:ascii="Arial" w:hAnsi="Arial" w:cs="Arial"/>
                <w:sz w:val="20"/>
                <w:szCs w:val="20"/>
              </w:rPr>
              <w:t xml:space="preserve"> role in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the Finance division</w:t>
            </w:r>
            <w:r w:rsidR="00182BFF">
              <w:rPr>
                <w:rFonts w:ascii="Arial" w:hAnsi="Arial" w:cs="Arial"/>
                <w:sz w:val="20"/>
                <w:szCs w:val="20"/>
              </w:rPr>
              <w:t>,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C4">
              <w:rPr>
                <w:rFonts w:ascii="Arial" w:hAnsi="Arial" w:cs="Arial"/>
                <w:sz w:val="20"/>
                <w:szCs w:val="20"/>
              </w:rPr>
              <w:t>assist</w:t>
            </w:r>
            <w:r w:rsidR="00B72CD5">
              <w:rPr>
                <w:rFonts w:ascii="Arial" w:hAnsi="Arial" w:cs="Arial"/>
                <w:sz w:val="20"/>
                <w:szCs w:val="20"/>
              </w:rPr>
              <w:t>ing</w:t>
            </w:r>
            <w:r w:rsidR="004A1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CD5">
              <w:rPr>
                <w:rFonts w:ascii="Arial" w:hAnsi="Arial" w:cs="Arial"/>
                <w:sz w:val="20"/>
                <w:szCs w:val="20"/>
              </w:rPr>
              <w:t>with</w:t>
            </w:r>
            <w:r w:rsidR="004A1F5C">
              <w:rPr>
                <w:rFonts w:ascii="Arial" w:hAnsi="Arial" w:cs="Arial"/>
                <w:sz w:val="20"/>
                <w:szCs w:val="20"/>
              </w:rPr>
              <w:t xml:space="preserve"> the funds</w:t>
            </w:r>
            <w:r w:rsidR="00B72CD5">
              <w:rPr>
                <w:rFonts w:ascii="Arial" w:hAnsi="Arial" w:cs="Arial"/>
                <w:sz w:val="20"/>
                <w:szCs w:val="20"/>
              </w:rPr>
              <w:t>’</w:t>
            </w:r>
            <w:r w:rsidR="004A1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C4">
              <w:rPr>
                <w:rFonts w:ascii="Arial" w:hAnsi="Arial" w:cs="Arial"/>
                <w:sz w:val="20"/>
                <w:szCs w:val="20"/>
              </w:rPr>
              <w:t>strategy and plan</w:t>
            </w:r>
            <w:r w:rsidR="004A1F5C">
              <w:rPr>
                <w:rFonts w:ascii="Arial" w:hAnsi="Arial" w:cs="Arial"/>
                <w:sz w:val="20"/>
                <w:szCs w:val="20"/>
              </w:rPr>
              <w:t>ning</w:t>
            </w:r>
            <w:r w:rsidR="007F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CD5">
              <w:rPr>
                <w:rFonts w:ascii="Arial" w:hAnsi="Arial" w:cs="Arial"/>
                <w:sz w:val="20"/>
                <w:szCs w:val="20"/>
              </w:rPr>
              <w:t>for</w:t>
            </w:r>
            <w:r w:rsidR="007F40C4">
              <w:rPr>
                <w:rFonts w:ascii="Arial" w:hAnsi="Arial" w:cs="Arial"/>
                <w:sz w:val="20"/>
                <w:szCs w:val="20"/>
              </w:rPr>
              <w:t xml:space="preserve"> key asset performance, </w:t>
            </w:r>
            <w:r w:rsidR="003E4D53">
              <w:rPr>
                <w:rFonts w:ascii="Arial" w:hAnsi="Arial" w:cs="Arial"/>
                <w:sz w:val="20"/>
                <w:szCs w:val="20"/>
              </w:rPr>
              <w:t>allocation of resource and hedging</w:t>
            </w:r>
            <w:r w:rsidR="005C5A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4DBFB1" w14:textId="48756318" w:rsidR="004A1F5C" w:rsidRPr="001D305E" w:rsidRDefault="004A1F5C" w:rsidP="00DA7D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role will support directly the Chief Financial Officer </w:t>
            </w:r>
            <w:r w:rsidR="00182B6C">
              <w:rPr>
                <w:rFonts w:ascii="Arial" w:hAnsi="Arial" w:cs="Arial"/>
                <w:sz w:val="20"/>
                <w:szCs w:val="20"/>
              </w:rPr>
              <w:t xml:space="preserve">(CFO) </w:t>
            </w:r>
            <w:r>
              <w:rPr>
                <w:rFonts w:ascii="Arial" w:hAnsi="Arial" w:cs="Arial"/>
                <w:sz w:val="20"/>
                <w:szCs w:val="20"/>
              </w:rPr>
              <w:t xml:space="preserve">and Chief Investment Officer </w:t>
            </w:r>
            <w:r w:rsidR="00182B6C">
              <w:rPr>
                <w:rFonts w:ascii="Arial" w:hAnsi="Arial" w:cs="Arial"/>
                <w:sz w:val="20"/>
                <w:szCs w:val="20"/>
              </w:rPr>
              <w:t xml:space="preserve">(CIO) </w:t>
            </w:r>
            <w:r>
              <w:rPr>
                <w:rFonts w:ascii="Arial" w:hAnsi="Arial" w:cs="Arial"/>
                <w:sz w:val="20"/>
                <w:szCs w:val="20"/>
              </w:rPr>
              <w:t>whilst also ensuring the wider financial reporting requirements are met.</w:t>
            </w:r>
          </w:p>
        </w:tc>
      </w:tr>
    </w:tbl>
    <w:p w14:paraId="32344E33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0F3DCF5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BA8BA3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CB8F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45054D7" w14:textId="77777777" w:rsidR="009E22D0" w:rsidRPr="00CA3F6E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415E5AA" w14:textId="0E39BDF9" w:rsidR="00717094" w:rsidRPr="00182B6C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2B6C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7D682F84" w14:textId="77777777" w:rsidR="009E22D0" w:rsidRPr="00CA3F6E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9E22D0" w:rsidRPr="00B75089" w14:paraId="7344FA8A" w14:textId="77777777" w:rsidTr="009E22D0">
        <w:trPr>
          <w:trHeight w:val="578"/>
        </w:trPr>
        <w:tc>
          <w:tcPr>
            <w:tcW w:w="6346" w:type="dxa"/>
          </w:tcPr>
          <w:p w14:paraId="46705C2D" w14:textId="77777777" w:rsidR="0056188D" w:rsidRPr="00644BB2" w:rsidRDefault="00AD34A1" w:rsidP="00DB2134">
            <w:pPr>
              <w:spacing w:before="100"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6525AD40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Reconcile fund bank accounts, broker statements, and investment positions.</w:t>
            </w:r>
          </w:p>
          <w:p w14:paraId="71744F55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Post daily journal entries for investment activity, accruals, and expenses.</w:t>
            </w:r>
          </w:p>
          <w:p w14:paraId="16145CFA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Process subscriptions, redemptions, and investor allocations accurately and timely.</w:t>
            </w:r>
          </w:p>
          <w:p w14:paraId="263FA848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Coordinate with fund administrators, custodians, and external auditors.</w:t>
            </w:r>
          </w:p>
          <w:p w14:paraId="7327943D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Assist in year-end audits and tax return preparations.</w:t>
            </w:r>
          </w:p>
          <w:p w14:paraId="506EF04E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Ensure compliance with regulatory requirements and internal policies.</w:t>
            </w:r>
          </w:p>
          <w:p w14:paraId="4B05BBD3" w14:textId="77777777" w:rsidR="004A1F5C" w:rsidRPr="004A1F5C" w:rsidRDefault="004A1F5C" w:rsidP="004A1F5C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Maintain and update investment fund accounting systems and spreadsheets.</w:t>
            </w:r>
          </w:p>
          <w:p w14:paraId="49F72FD9" w14:textId="0899A496" w:rsidR="00A63D95" w:rsidRDefault="008117D4" w:rsidP="004A1F5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Challenge</w:t>
            </w:r>
            <w:r w:rsidR="00A63D95" w:rsidRPr="00A63D95">
              <w:rPr>
                <w:rFonts w:ascii="Arial" w:eastAsia="Calibri" w:hAnsi="Arial" w:cs="Arial"/>
                <w:sz w:val="20"/>
                <w:szCs w:val="20"/>
              </w:rPr>
              <w:t xml:space="preserve"> existing processes as part of continuous improvement and working with </w:t>
            </w:r>
            <w:r w:rsidR="00A63D95">
              <w:rPr>
                <w:rFonts w:ascii="Arial" w:eastAsia="Calibri" w:hAnsi="Arial" w:cs="Arial"/>
                <w:sz w:val="20"/>
                <w:szCs w:val="20"/>
              </w:rPr>
              <w:t>relevant personnel</w:t>
            </w:r>
            <w:r w:rsidR="00A63D95" w:rsidRPr="00A63D95">
              <w:rPr>
                <w:rFonts w:ascii="Arial" w:eastAsia="Calibri" w:hAnsi="Arial" w:cs="Arial"/>
                <w:sz w:val="20"/>
                <w:szCs w:val="20"/>
              </w:rPr>
              <w:t xml:space="preserve"> as necessary to implement</w:t>
            </w:r>
            <w:r w:rsidR="00A63D9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CA8C416" w14:textId="702E6B3C" w:rsidR="007C5605" w:rsidRPr="00DB2134" w:rsidRDefault="007C5605" w:rsidP="004A1F5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C5605">
              <w:rPr>
                <w:rFonts w:ascii="Arial" w:eastAsia="Calibri" w:hAnsi="Arial" w:cs="Arial"/>
                <w:sz w:val="20"/>
                <w:szCs w:val="20"/>
              </w:rPr>
              <w:t>Document and maintain the Investment operating processes and procedures</w:t>
            </w:r>
            <w:r w:rsidR="008117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626C806" w14:textId="5256945E" w:rsidR="004A1F5C" w:rsidRDefault="004A1F5C" w:rsidP="004A1F5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C5605">
              <w:rPr>
                <w:rFonts w:ascii="Arial" w:eastAsia="Calibri" w:hAnsi="Arial" w:cs="Arial"/>
                <w:sz w:val="20"/>
                <w:szCs w:val="20"/>
              </w:rPr>
              <w:t>Assist in the production of regular BAU reporting deliverables</w:t>
            </w:r>
            <w:r w:rsidR="008117D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C5605">
              <w:rPr>
                <w:rFonts w:ascii="Arial" w:eastAsia="Calibri" w:hAnsi="Arial" w:cs="Arial"/>
                <w:sz w:val="20"/>
                <w:szCs w:val="20"/>
              </w:rPr>
              <w:t xml:space="preserve"> including analytical reviews and control attestations</w:t>
            </w:r>
            <w:r w:rsidR="008117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D8DB224" w14:textId="1644286B" w:rsidR="00FC4ED5" w:rsidRPr="001D305E" w:rsidRDefault="00FC4ED5" w:rsidP="00FC4ED5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53D6AC" w14:textId="77777777" w:rsidR="00DB2134" w:rsidRPr="00182B6C" w:rsidRDefault="00DB2134" w:rsidP="00DB213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3998C8" w14:textId="4C3AF0F4" w:rsidR="00304523" w:rsidRDefault="00C91CFA" w:rsidP="0030452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82B6C">
              <w:rPr>
                <w:rFonts w:ascii="Arial" w:eastAsia="Calibri" w:hAnsi="Arial" w:cs="Arial"/>
                <w:sz w:val="20"/>
                <w:szCs w:val="20"/>
              </w:rPr>
              <w:t xml:space="preserve">Corporate </w:t>
            </w:r>
            <w:r w:rsidR="0030452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182B6C">
              <w:rPr>
                <w:rFonts w:ascii="Arial" w:eastAsia="Calibri" w:hAnsi="Arial" w:cs="Arial"/>
                <w:sz w:val="20"/>
                <w:szCs w:val="20"/>
              </w:rPr>
              <w:t xml:space="preserve">trategic priorities </w:t>
            </w:r>
            <w:r w:rsidR="0019031D" w:rsidRPr="00182B6C"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182B6C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19031D" w:rsidRPr="00182B6C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182B6C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41E584EE" w14:textId="7B0F8AF0" w:rsidR="00616E54" w:rsidRPr="00304523" w:rsidRDefault="00616E54" w:rsidP="0030452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04523">
              <w:rPr>
                <w:rFonts w:ascii="Arial" w:eastAsia="Calibri" w:hAnsi="Arial" w:cs="Arial"/>
                <w:sz w:val="20"/>
                <w:szCs w:val="20"/>
              </w:rPr>
              <w:t xml:space="preserve">Divisional </w:t>
            </w:r>
            <w:r w:rsidR="0030452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304523">
              <w:rPr>
                <w:rFonts w:ascii="Arial" w:eastAsia="Calibri" w:hAnsi="Arial" w:cs="Arial"/>
                <w:sz w:val="20"/>
                <w:szCs w:val="20"/>
              </w:rPr>
              <w:t xml:space="preserve">trategic priorities </w:t>
            </w:r>
            <w:r w:rsidR="00304523"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304523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304523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304523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13D435D8" w14:textId="7B260308" w:rsid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82B6C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r w:rsidR="00182B6C" w:rsidRPr="00182B6C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182B6C">
              <w:rPr>
                <w:rFonts w:ascii="Arial" w:eastAsia="Calibri" w:hAnsi="Arial" w:cs="Arial"/>
                <w:sz w:val="20"/>
                <w:szCs w:val="20"/>
              </w:rPr>
              <w:t xml:space="preserve">lan </w:t>
            </w:r>
          </w:p>
          <w:p w14:paraId="4F2255DE" w14:textId="52282C7B" w:rsidR="009E22D0" w:rsidRPr="00182B6C" w:rsidRDefault="00616E54" w:rsidP="00AB2A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 to reporting deadlines</w:t>
            </w:r>
          </w:p>
        </w:tc>
      </w:tr>
      <w:tr w:rsidR="009E22D0" w:rsidRPr="00B75089" w14:paraId="17BB30E9" w14:textId="77777777" w:rsidTr="009E22D0">
        <w:trPr>
          <w:trHeight w:val="578"/>
        </w:trPr>
        <w:tc>
          <w:tcPr>
            <w:tcW w:w="6346" w:type="dxa"/>
          </w:tcPr>
          <w:p w14:paraId="384C789E" w14:textId="14CC4C74" w:rsidR="009E22D0" w:rsidRPr="00644BB2" w:rsidRDefault="009E22D0" w:rsidP="00DB213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14:paraId="5AE65191" w14:textId="1E34DF42" w:rsidR="004A1F5C" w:rsidRPr="004A1F5C" w:rsidRDefault="004A1F5C" w:rsidP="004A1F5C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4A1F5C">
              <w:rPr>
                <w:rFonts w:ascii="Arial" w:eastAsia="Calibri" w:hAnsi="Arial" w:cs="Arial"/>
                <w:sz w:val="20"/>
                <w:szCs w:val="20"/>
              </w:rPr>
              <w:t xml:space="preserve">eview fund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manager </w:t>
            </w:r>
            <w:r w:rsidRPr="004A1F5C">
              <w:rPr>
                <w:rFonts w:ascii="Arial" w:eastAsia="Calibri" w:hAnsi="Arial" w:cs="Arial"/>
                <w:sz w:val="20"/>
                <w:szCs w:val="20"/>
              </w:rPr>
              <w:t>financial statements.</w:t>
            </w:r>
          </w:p>
          <w:p w14:paraId="074F527A" w14:textId="4E39D93B" w:rsidR="004A1F5C" w:rsidRPr="004A1F5C" w:rsidRDefault="004A1F5C" w:rsidP="004A1F5C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>Provide support for ad hoc financial analysis and reporting.</w:t>
            </w:r>
          </w:p>
          <w:p w14:paraId="29FC6376" w14:textId="77777777" w:rsidR="00182B6C" w:rsidRDefault="00B270A3" w:rsidP="00182B6C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A1F5C">
              <w:rPr>
                <w:rFonts w:ascii="Arial" w:eastAsia="Calibri" w:hAnsi="Arial" w:cs="Arial"/>
                <w:sz w:val="20"/>
                <w:szCs w:val="20"/>
              </w:rPr>
              <w:t xml:space="preserve">Support the production of metrics from </w:t>
            </w:r>
            <w:r w:rsidR="00807E70" w:rsidRPr="004A1F5C">
              <w:rPr>
                <w:rFonts w:ascii="Arial" w:eastAsia="Calibri" w:hAnsi="Arial" w:cs="Arial"/>
                <w:sz w:val="20"/>
                <w:szCs w:val="20"/>
              </w:rPr>
              <w:t>investment managers</w:t>
            </w:r>
            <w:r w:rsidRPr="004A1F5C">
              <w:rPr>
                <w:rFonts w:ascii="Arial" w:eastAsia="Calibri" w:hAnsi="Arial" w:cs="Arial"/>
                <w:sz w:val="20"/>
                <w:szCs w:val="20"/>
              </w:rPr>
              <w:t xml:space="preserve"> to inform business decisions and actions which result in a measurable improvement in business performance and trends.</w:t>
            </w:r>
          </w:p>
          <w:p w14:paraId="3BD2742B" w14:textId="7C4F544C" w:rsidR="00FC4ED5" w:rsidRPr="00182B6C" w:rsidRDefault="004A1F5C" w:rsidP="00182B6C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182B6C">
              <w:rPr>
                <w:rFonts w:ascii="Arial" w:eastAsia="Calibri" w:hAnsi="Arial" w:cs="Arial"/>
                <w:sz w:val="20"/>
                <w:szCs w:val="20"/>
              </w:rPr>
              <w:t>Provide support to the CIO, as required, ensuring timely processing and completion in-line with governance timeframes.</w:t>
            </w:r>
          </w:p>
          <w:p w14:paraId="68BC223C" w14:textId="34AC131F" w:rsidR="008117D4" w:rsidRPr="00FC4ED5" w:rsidRDefault="008117D4" w:rsidP="004A1F5C">
            <w:pPr>
              <w:pStyle w:val="ListParagraph"/>
            </w:pPr>
          </w:p>
        </w:tc>
        <w:tc>
          <w:tcPr>
            <w:tcW w:w="4141" w:type="dxa"/>
          </w:tcPr>
          <w:p w14:paraId="14ADF78B" w14:textId="77777777" w:rsidR="00DB2134" w:rsidRPr="00182B6C" w:rsidRDefault="00DB2134" w:rsidP="00DB21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47A33A9" w14:textId="7DE6A752" w:rsidR="00644BB2" w:rsidRPr="00182B6C" w:rsidRDefault="00644BB2" w:rsidP="00DB21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82B6C">
              <w:rPr>
                <w:rFonts w:ascii="Arial" w:hAnsi="Arial" w:cs="Arial"/>
                <w:sz w:val="20"/>
                <w:szCs w:val="20"/>
              </w:rPr>
              <w:t xml:space="preserve">Operational budget </w:t>
            </w:r>
            <w:r w:rsidR="0019031D" w:rsidRPr="00182B6C">
              <w:rPr>
                <w:rFonts w:ascii="Arial" w:hAnsi="Arial" w:cs="Arial"/>
                <w:sz w:val="20"/>
                <w:szCs w:val="20"/>
              </w:rPr>
              <w:t>v</w:t>
            </w:r>
            <w:r w:rsidRPr="00182B6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19031D" w:rsidRPr="00182B6C">
              <w:rPr>
                <w:rFonts w:ascii="Arial" w:hAnsi="Arial" w:cs="Arial"/>
                <w:sz w:val="20"/>
                <w:szCs w:val="20"/>
              </w:rPr>
              <w:t>P</w:t>
            </w:r>
            <w:r w:rsidRPr="00182B6C">
              <w:rPr>
                <w:rFonts w:ascii="Arial" w:hAnsi="Arial" w:cs="Arial"/>
                <w:sz w:val="20"/>
                <w:szCs w:val="20"/>
              </w:rPr>
              <w:t>lan</w:t>
            </w:r>
          </w:p>
          <w:p w14:paraId="40692338" w14:textId="14E327AA" w:rsidR="00603EC2" w:rsidRPr="00182B6C" w:rsidRDefault="00603EC2" w:rsidP="00603EC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B6C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0B3BFF3B" w14:textId="3BD841BA" w:rsidR="009E22D0" w:rsidRPr="00182B6C" w:rsidRDefault="009E22D0" w:rsidP="001459DA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F5C" w:rsidRPr="00B75089" w14:paraId="7D34ECDD" w14:textId="77777777" w:rsidTr="009E22D0">
        <w:trPr>
          <w:trHeight w:val="578"/>
        </w:trPr>
        <w:tc>
          <w:tcPr>
            <w:tcW w:w="6346" w:type="dxa"/>
          </w:tcPr>
          <w:p w14:paraId="0C0B348E" w14:textId="77777777" w:rsidR="004A1F5C" w:rsidRPr="00B75089" w:rsidRDefault="004A1F5C" w:rsidP="004A1F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4EBE5A9" w14:textId="77777777" w:rsidR="004A1F5C" w:rsidRPr="008117D4" w:rsidRDefault="004A1F5C" w:rsidP="00A947A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117D4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colleagues, ensuring clarity on own accountabilities and comply with all governance, policy standards, and processes.</w:t>
            </w:r>
            <w:r w:rsidRPr="008117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2D32BA7" w14:textId="77777777" w:rsidR="004A1F5C" w:rsidRPr="008117D4" w:rsidRDefault="004A1F5C" w:rsidP="00B72CD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2CD5">
              <w:rPr>
                <w:rFonts w:ascii="Arial" w:eastAsia="Calibri" w:hAnsi="Arial" w:cs="Arial"/>
                <w:sz w:val="20"/>
                <w:szCs w:val="20"/>
              </w:rPr>
              <w:t>Provide support to the Finance division to ensure fair treatment and outcomes for colleagues and the organisation ensuring compliance with associated policies</w:t>
            </w:r>
          </w:p>
          <w:p w14:paraId="7E745EEC" w14:textId="08D6461A" w:rsidR="008117D4" w:rsidRPr="00B72CD5" w:rsidRDefault="008117D4" w:rsidP="00A947A9">
            <w:pPr>
              <w:pStyle w:val="ListParagrap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1F4C0324" w14:textId="77777777" w:rsidR="004A1F5C" w:rsidRPr="00182B6C" w:rsidRDefault="004A1F5C" w:rsidP="004A1F5C">
            <w:pPr>
              <w:pStyle w:val="ListParagraph"/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F33A7A" w14:textId="44571CC2" w:rsidR="004A1F5C" w:rsidRPr="00304523" w:rsidRDefault="004A1F5C" w:rsidP="0030452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 w:rsidRPr="00182B6C">
              <w:rPr>
                <w:rFonts w:ascii="Arial" w:hAnsi="Arial" w:cs="Arial"/>
                <w:sz w:val="20"/>
                <w:szCs w:val="20"/>
              </w:rPr>
              <w:t>D</w:t>
            </w:r>
            <w:r w:rsidR="00616E54">
              <w:rPr>
                <w:rFonts w:ascii="Arial" w:hAnsi="Arial" w:cs="Arial"/>
                <w:sz w:val="20"/>
                <w:szCs w:val="20"/>
              </w:rPr>
              <w:t>evelopment and d</w:t>
            </w:r>
            <w:r w:rsidRPr="00182B6C">
              <w:rPr>
                <w:rFonts w:ascii="Arial" w:hAnsi="Arial" w:cs="Arial"/>
                <w:sz w:val="20"/>
                <w:szCs w:val="20"/>
              </w:rPr>
              <w:t>elivery of</w:t>
            </w:r>
            <w:r w:rsidR="00616E54">
              <w:rPr>
                <w:rFonts w:ascii="Arial" w:hAnsi="Arial" w:cs="Arial"/>
                <w:sz w:val="20"/>
                <w:szCs w:val="20"/>
              </w:rPr>
              <w:t xml:space="preserve"> robust</w:t>
            </w:r>
            <w:r w:rsidRPr="00182B6C">
              <w:rPr>
                <w:rFonts w:ascii="Arial" w:hAnsi="Arial" w:cs="Arial"/>
                <w:sz w:val="20"/>
                <w:szCs w:val="20"/>
              </w:rPr>
              <w:t xml:space="preserve"> Personal Development Plan </w:t>
            </w:r>
            <w:r w:rsidR="00616E54">
              <w:rPr>
                <w:rFonts w:ascii="Arial" w:hAnsi="Arial" w:cs="Arial"/>
                <w:sz w:val="20"/>
                <w:szCs w:val="20"/>
              </w:rPr>
              <w:t>goals</w:t>
            </w:r>
          </w:p>
          <w:p w14:paraId="516A7C71" w14:textId="4C68AB4A" w:rsidR="00616E54" w:rsidRPr="00182B6C" w:rsidRDefault="00616E54" w:rsidP="00182B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Stakeholder </w:t>
            </w:r>
            <w:r w:rsidR="00304523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eedback</w:t>
            </w:r>
          </w:p>
        </w:tc>
      </w:tr>
      <w:tr w:rsidR="004A1F5C" w:rsidRPr="00B75089" w14:paraId="1C64E572" w14:textId="77777777" w:rsidTr="009E22D0">
        <w:trPr>
          <w:trHeight w:val="578"/>
        </w:trPr>
        <w:tc>
          <w:tcPr>
            <w:tcW w:w="6346" w:type="dxa"/>
          </w:tcPr>
          <w:p w14:paraId="3607EC02" w14:textId="77777777" w:rsidR="004A1F5C" w:rsidRPr="00B75089" w:rsidRDefault="004A1F5C" w:rsidP="004A1F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68F5DD2B" w14:textId="13288FFD" w:rsidR="004A1F5C" w:rsidRDefault="004A1F5C" w:rsidP="004A1F5C">
            <w:pPr>
              <w:pStyle w:val="ListParagraph"/>
              <w:numPr>
                <w:ilvl w:val="0"/>
                <w:numId w:val="14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Monitor emerging finance risks and issues arising from business activities which fail to deliver appropriate and consistent outcomes for </w:t>
            </w:r>
            <w:r w:rsidR="00182B6C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>embers</w:t>
            </w:r>
            <w:r w:rsidR="00182B6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182B6C">
              <w:rPr>
                <w:rFonts w:ascii="Arial" w:eastAsia="Calibri" w:hAnsi="Arial" w:cs="Arial"/>
                <w:sz w:val="20"/>
                <w:szCs w:val="20"/>
              </w:rPr>
              <w:t xml:space="preserve">which 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>are likely to have a material adverse effect on the Group.</w:t>
            </w:r>
          </w:p>
          <w:p w14:paraId="3B32AFA9" w14:textId="7BCEEBFB" w:rsidR="004A1F5C" w:rsidRPr="00FC4ED5" w:rsidRDefault="004A1F5C" w:rsidP="004A1F5C">
            <w:pPr>
              <w:pStyle w:val="ListParagraph"/>
              <w:numPr>
                <w:ilvl w:val="0"/>
                <w:numId w:val="1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recognise the importance of risk identification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1459DA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89B599" w14:textId="1E54DE53" w:rsidR="004A1F5C" w:rsidRDefault="004A1F5C" w:rsidP="004A1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across MPS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to enable resolution and mitigation of potential impact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on MPS, </w:t>
            </w:r>
            <w:r w:rsidR="00182B6C">
              <w:rPr>
                <w:rFonts w:ascii="Arial" w:hAnsi="Arial" w:cs="Arial"/>
                <w:sz w:val="20"/>
                <w:szCs w:val="20"/>
              </w:rPr>
              <w:t>M</w:t>
            </w:r>
            <w:r w:rsidRPr="00644BB2">
              <w:rPr>
                <w:rFonts w:ascii="Arial" w:hAnsi="Arial" w:cs="Arial"/>
                <w:sz w:val="20"/>
                <w:szCs w:val="20"/>
              </w:rPr>
              <w:t>embers and colleagues.</w:t>
            </w:r>
          </w:p>
          <w:p w14:paraId="21404F51" w14:textId="38E1E01B" w:rsidR="004A1F5C" w:rsidRDefault="004A1F5C" w:rsidP="008117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A7D87">
              <w:rPr>
                <w:rFonts w:ascii="Arial" w:hAnsi="Arial" w:cs="Arial"/>
                <w:sz w:val="20"/>
                <w:szCs w:val="20"/>
              </w:rPr>
              <w:t>Assist in the embedding of the risk culture and control framework</w:t>
            </w:r>
            <w:r w:rsidR="00182B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358D95" w14:textId="7457ED52" w:rsidR="00A947A9" w:rsidRPr="008117D4" w:rsidRDefault="00A947A9" w:rsidP="00A947A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49E0B83" w14:textId="77777777" w:rsidR="004A1F5C" w:rsidRPr="00304523" w:rsidRDefault="004A1F5C" w:rsidP="004A1F5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ED6821F" w14:textId="6319F170" w:rsidR="00616E54" w:rsidRPr="00304523" w:rsidRDefault="004A1F5C" w:rsidP="0030452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04523">
              <w:rPr>
                <w:rFonts w:ascii="Arial" w:eastAsia="Calibri" w:hAnsi="Arial" w:cs="Arial"/>
                <w:sz w:val="20"/>
                <w:szCs w:val="20"/>
              </w:rPr>
              <w:t>Risk &amp; Control Self-Assessments</w:t>
            </w:r>
          </w:p>
          <w:p w14:paraId="3E8556EF" w14:textId="576AED49" w:rsidR="004A1F5C" w:rsidRPr="00304523" w:rsidRDefault="004A1F5C" w:rsidP="003045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04523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74545E4A" w14:textId="61BB8998" w:rsidR="00FC4ED5" w:rsidRDefault="00FC4ED5"/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625F46AE" w14:textId="77777777" w:rsidTr="009E22D0">
        <w:trPr>
          <w:trHeight w:val="578"/>
        </w:trPr>
        <w:tc>
          <w:tcPr>
            <w:tcW w:w="6346" w:type="dxa"/>
          </w:tcPr>
          <w:p w14:paraId="03501026" w14:textId="72D8702D" w:rsidR="009E22D0" w:rsidRPr="00B75089" w:rsidRDefault="009E22D0" w:rsidP="00DB21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B6B087A" w14:textId="77777777" w:rsidR="00FC4ED5" w:rsidRPr="00714AC8" w:rsidRDefault="00616E54" w:rsidP="008117D4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756263">
              <w:rPr>
                <w:rFonts w:ascii="Arial" w:hAnsi="Arial" w:cs="Arial"/>
                <w:sz w:val="20"/>
                <w:szCs w:val="20"/>
              </w:rPr>
              <w:t>Establish a culture and capability in Lean / continuous improvement to drive operational efficiency and great member experiences and outcomes</w:t>
            </w:r>
            <w:r w:rsidR="003045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882971" w14:textId="5B31E9A5" w:rsidR="00714AC8" w:rsidRPr="008117D4" w:rsidRDefault="00714AC8" w:rsidP="008117D4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ESG reporting across the investment portfolio to facilitate delivery of the ESG strategy.</w:t>
            </w:r>
          </w:p>
        </w:tc>
        <w:tc>
          <w:tcPr>
            <w:tcW w:w="4141" w:type="dxa"/>
          </w:tcPr>
          <w:p w14:paraId="04BAB04B" w14:textId="77777777" w:rsidR="00714AC8" w:rsidRDefault="00714AC8" w:rsidP="00714AC8">
            <w:pPr>
              <w:spacing w:after="0"/>
            </w:pPr>
          </w:p>
          <w:p w14:paraId="4FAAB143" w14:textId="3AA92080" w:rsidR="00714AC8" w:rsidRPr="00644BB2" w:rsidRDefault="00AB2A09" w:rsidP="00714AC8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Adherence to reporting deadlines</w:t>
            </w:r>
          </w:p>
        </w:tc>
      </w:tr>
    </w:tbl>
    <w:p w14:paraId="630EEE58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5B344F8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EDA93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158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112EEB24" w14:textId="77777777" w:rsidTr="00FF16B8">
        <w:trPr>
          <w:trHeight w:val="693"/>
        </w:trPr>
        <w:tc>
          <w:tcPr>
            <w:tcW w:w="10490" w:type="dxa"/>
          </w:tcPr>
          <w:p w14:paraId="0D83A5BC" w14:textId="5E4D064E" w:rsidR="00E420EE" w:rsidRPr="00E420EE" w:rsidRDefault="00E420EE" w:rsidP="00E420E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420EE">
              <w:rPr>
                <w:rFonts w:ascii="Arial" w:hAnsi="Arial" w:cs="Arial"/>
                <w:sz w:val="20"/>
                <w:szCs w:val="20"/>
              </w:rPr>
              <w:t xml:space="preserve">Work with the </w:t>
            </w:r>
            <w:r w:rsidR="00DB2134">
              <w:rPr>
                <w:rFonts w:ascii="Arial" w:hAnsi="Arial" w:cs="Arial"/>
                <w:sz w:val="20"/>
                <w:szCs w:val="20"/>
              </w:rPr>
              <w:t>Financial Reporting</w:t>
            </w:r>
            <w:r w:rsidR="00AF4D80">
              <w:rPr>
                <w:rFonts w:ascii="Arial" w:hAnsi="Arial" w:cs="Arial"/>
                <w:sz w:val="20"/>
                <w:szCs w:val="20"/>
              </w:rPr>
              <w:t xml:space="preserve"> &amp; Control</w:t>
            </w:r>
            <w:r w:rsidR="00DB2134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="00AF4D80">
              <w:rPr>
                <w:rFonts w:ascii="Arial" w:hAnsi="Arial" w:cs="Arial"/>
                <w:sz w:val="20"/>
                <w:szCs w:val="20"/>
              </w:rPr>
              <w:t>,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31C">
              <w:rPr>
                <w:rFonts w:ascii="Arial" w:hAnsi="Arial" w:cs="Arial"/>
                <w:sz w:val="20"/>
                <w:szCs w:val="20"/>
              </w:rPr>
              <w:t>and other stakeholders</w:t>
            </w:r>
            <w:r w:rsidR="00AF4D80">
              <w:rPr>
                <w:rFonts w:ascii="Arial" w:hAnsi="Arial" w:cs="Arial"/>
                <w:sz w:val="20"/>
                <w:szCs w:val="20"/>
              </w:rPr>
              <w:t>,</w:t>
            </w:r>
            <w:r w:rsidR="00A773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182B6C">
              <w:rPr>
                <w:rFonts w:ascii="Arial" w:hAnsi="Arial" w:cs="Arial"/>
                <w:sz w:val="20"/>
                <w:szCs w:val="20"/>
              </w:rPr>
              <w:t>regular</w:t>
            </w:r>
            <w:r w:rsidR="00135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243">
              <w:rPr>
                <w:rFonts w:ascii="Arial" w:hAnsi="Arial" w:cs="Arial"/>
                <w:sz w:val="20"/>
                <w:szCs w:val="20"/>
              </w:rPr>
              <w:t>investment reporting</w:t>
            </w:r>
            <w:r w:rsidR="00135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243">
              <w:rPr>
                <w:rFonts w:ascii="Arial" w:hAnsi="Arial" w:cs="Arial"/>
                <w:sz w:val="20"/>
                <w:szCs w:val="20"/>
              </w:rPr>
              <w:t xml:space="preserve">as well as other financial reporting </w:t>
            </w:r>
            <w:r w:rsidR="00CA3F6E">
              <w:rPr>
                <w:rFonts w:ascii="Arial" w:hAnsi="Arial" w:cs="Arial"/>
                <w:sz w:val="20"/>
                <w:szCs w:val="20"/>
              </w:rPr>
              <w:t>responsibilities for the business.</w:t>
            </w:r>
          </w:p>
          <w:p w14:paraId="0E79DF9D" w14:textId="724C47F8" w:rsidR="00E420EE" w:rsidRPr="00E420EE" w:rsidRDefault="00E420EE" w:rsidP="00E420E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420EE">
              <w:rPr>
                <w:rFonts w:ascii="Arial" w:hAnsi="Arial" w:cs="Arial"/>
                <w:sz w:val="20"/>
                <w:szCs w:val="20"/>
              </w:rPr>
              <w:t>Hands</w:t>
            </w:r>
            <w:r w:rsidR="00AF4D80">
              <w:rPr>
                <w:rFonts w:ascii="Arial" w:hAnsi="Arial" w:cs="Arial"/>
                <w:sz w:val="20"/>
                <w:szCs w:val="20"/>
              </w:rPr>
              <w:t>-</w:t>
            </w:r>
            <w:r w:rsidRPr="00E420EE">
              <w:rPr>
                <w:rFonts w:ascii="Arial" w:hAnsi="Arial" w:cs="Arial"/>
                <w:sz w:val="20"/>
                <w:szCs w:val="20"/>
              </w:rPr>
              <w:t>on support to the</w:t>
            </w:r>
            <w:r w:rsidR="00307FF0">
              <w:rPr>
                <w:rFonts w:ascii="Arial" w:hAnsi="Arial" w:cs="Arial"/>
                <w:sz w:val="20"/>
                <w:szCs w:val="20"/>
              </w:rPr>
              <w:t xml:space="preserve"> Capital </w:t>
            </w:r>
            <w:r w:rsidR="00182B6C">
              <w:rPr>
                <w:rFonts w:ascii="Arial" w:hAnsi="Arial" w:cs="Arial"/>
                <w:sz w:val="20"/>
                <w:szCs w:val="20"/>
              </w:rPr>
              <w:t>t</w:t>
            </w:r>
            <w:r w:rsidR="00307FF0">
              <w:rPr>
                <w:rFonts w:ascii="Arial" w:hAnsi="Arial" w:cs="Arial"/>
                <w:sz w:val="20"/>
                <w:szCs w:val="20"/>
              </w:rPr>
              <w:t>eam and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B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464C1">
              <w:rPr>
                <w:rFonts w:ascii="Arial" w:hAnsi="Arial" w:cs="Arial"/>
                <w:sz w:val="20"/>
                <w:szCs w:val="20"/>
              </w:rPr>
              <w:t>Chief Investment Officer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to ensure </w:t>
            </w:r>
            <w:r w:rsidR="00307FF0">
              <w:rPr>
                <w:rFonts w:ascii="Arial" w:hAnsi="Arial" w:cs="Arial"/>
                <w:sz w:val="20"/>
                <w:szCs w:val="20"/>
              </w:rPr>
              <w:t>efficient and effective reporting of investments and related metrics.</w:t>
            </w:r>
          </w:p>
          <w:p w14:paraId="00670D24" w14:textId="423D87A9" w:rsidR="009E22D0" w:rsidRDefault="00E420EE" w:rsidP="00E420E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420EE">
              <w:rPr>
                <w:rFonts w:ascii="Arial" w:hAnsi="Arial" w:cs="Arial"/>
                <w:sz w:val="20"/>
                <w:szCs w:val="20"/>
              </w:rPr>
              <w:t xml:space="preserve">Work with the wider </w:t>
            </w:r>
            <w:r>
              <w:rPr>
                <w:rFonts w:ascii="Arial" w:hAnsi="Arial" w:cs="Arial"/>
                <w:sz w:val="20"/>
                <w:szCs w:val="20"/>
              </w:rPr>
              <w:t>Finance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Division to ensure that reporting requirements</w:t>
            </w:r>
            <w:r w:rsidR="00A7731C">
              <w:rPr>
                <w:rFonts w:ascii="Arial" w:hAnsi="Arial" w:cs="Arial"/>
                <w:sz w:val="20"/>
                <w:szCs w:val="20"/>
              </w:rPr>
              <w:t>, both internal and external</w:t>
            </w:r>
            <w:r w:rsidR="00DB2134">
              <w:rPr>
                <w:rFonts w:ascii="Arial" w:hAnsi="Arial" w:cs="Arial"/>
                <w:sz w:val="20"/>
                <w:szCs w:val="20"/>
              </w:rPr>
              <w:t>,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are met</w:t>
            </w:r>
            <w:r w:rsidR="00DB2134">
              <w:rPr>
                <w:rFonts w:ascii="Arial" w:hAnsi="Arial" w:cs="Arial"/>
                <w:sz w:val="20"/>
                <w:szCs w:val="20"/>
              </w:rPr>
              <w:t xml:space="preserve"> within relevant deadlines</w:t>
            </w:r>
            <w:r w:rsidRPr="00E420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027427" w14:textId="22961DBD" w:rsidR="00E420EE" w:rsidRPr="00B75089" w:rsidRDefault="00E420EE" w:rsidP="00E420E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420EE">
              <w:rPr>
                <w:rFonts w:ascii="Arial" w:hAnsi="Arial" w:cs="Arial"/>
                <w:sz w:val="20"/>
                <w:szCs w:val="20"/>
              </w:rPr>
              <w:t>Undertak</w:t>
            </w:r>
            <w:r w:rsidR="00DB2134">
              <w:rPr>
                <w:rFonts w:ascii="Arial" w:hAnsi="Arial" w:cs="Arial"/>
                <w:sz w:val="20"/>
                <w:szCs w:val="20"/>
              </w:rPr>
              <w:t>e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other duties and tasks that from time</w:t>
            </w:r>
            <w:r w:rsidR="00A7731C">
              <w:rPr>
                <w:rFonts w:ascii="Arial" w:hAnsi="Arial" w:cs="Arial"/>
                <w:sz w:val="20"/>
                <w:szCs w:val="20"/>
              </w:rPr>
              <w:t>–</w:t>
            </w:r>
            <w:r w:rsidRPr="00E420EE">
              <w:rPr>
                <w:rFonts w:ascii="Arial" w:hAnsi="Arial" w:cs="Arial"/>
                <w:sz w:val="20"/>
                <w:szCs w:val="20"/>
              </w:rPr>
              <w:t>to</w:t>
            </w:r>
            <w:r w:rsidR="00A7731C">
              <w:rPr>
                <w:rFonts w:ascii="Arial" w:hAnsi="Arial" w:cs="Arial"/>
                <w:sz w:val="20"/>
                <w:szCs w:val="20"/>
              </w:rPr>
              <w:t>-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time may be allocated </w:t>
            </w:r>
            <w:r w:rsidR="00DB2134">
              <w:rPr>
                <w:rFonts w:ascii="Arial" w:hAnsi="Arial" w:cs="Arial"/>
                <w:sz w:val="20"/>
                <w:szCs w:val="20"/>
              </w:rPr>
              <w:t>which</w:t>
            </w:r>
            <w:r w:rsidRPr="00E420EE">
              <w:rPr>
                <w:rFonts w:ascii="Arial" w:hAnsi="Arial" w:cs="Arial"/>
                <w:sz w:val="20"/>
                <w:szCs w:val="20"/>
              </w:rPr>
              <w:t xml:space="preserve"> are appropriate to the level or role.</w:t>
            </w:r>
          </w:p>
        </w:tc>
      </w:tr>
    </w:tbl>
    <w:p w14:paraId="29C194FB" w14:textId="77777777" w:rsidR="00A947A9" w:rsidRDefault="00A947A9">
      <w: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41656297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6AB937C" w14:textId="3B2F89AD" w:rsidR="005542D1" w:rsidRPr="00B72CD5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5BCB6" w14:textId="77777777" w:rsidR="005542D1" w:rsidRPr="00B72CD5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CD5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342B960A" w14:textId="77777777" w:rsidTr="00DB2134">
        <w:trPr>
          <w:trHeight w:val="315"/>
        </w:trPr>
        <w:tc>
          <w:tcPr>
            <w:tcW w:w="10490" w:type="dxa"/>
          </w:tcPr>
          <w:p w14:paraId="0B937CE8" w14:textId="364A2909" w:rsidR="005542D1" w:rsidRPr="00B72CD5" w:rsidRDefault="005542D1" w:rsidP="00304523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44E1C" w14:textId="77777777" w:rsidR="001459DA" w:rsidRPr="00B75089" w:rsidRDefault="001459DA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D1BABA3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1F202785" w14:textId="77777777" w:rsidR="0056188D" w:rsidRPr="00B72CD5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8CFDE" w14:textId="77777777" w:rsidR="0056188D" w:rsidRPr="00B72CD5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CD5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46B341E" w14:textId="77777777" w:rsidR="0056188D" w:rsidRPr="00B72CD5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1ABE0" w14:textId="214EB8A7" w:rsidR="0056188D" w:rsidRPr="00B72CD5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CD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48410B00" w14:textId="77777777" w:rsidTr="00FF16B8">
        <w:trPr>
          <w:trHeight w:val="211"/>
        </w:trPr>
        <w:tc>
          <w:tcPr>
            <w:tcW w:w="6008" w:type="dxa"/>
          </w:tcPr>
          <w:p w14:paraId="7994380B" w14:textId="77777777" w:rsidR="0056188D" w:rsidRPr="00B72CD5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637082A" w14:textId="44E60AE6" w:rsidR="0056188D" w:rsidRPr="00B72CD5" w:rsidRDefault="00304523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Others"/>
                    <w:listEntry w:val="Leading Self"/>
                    <w:listEntry w:val="Leading the Organisation"/>
                  </w:ddList>
                </w:ffData>
              </w:fldChar>
            </w:r>
            <w:bookmarkStart w:id="0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2CF03F6A" w14:textId="77777777" w:rsidTr="00FF16B8">
        <w:trPr>
          <w:trHeight w:val="211"/>
        </w:trPr>
        <w:tc>
          <w:tcPr>
            <w:tcW w:w="6008" w:type="dxa"/>
          </w:tcPr>
          <w:p w14:paraId="024FCD61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B72CD5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A86B590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2CD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2CD5">
              <w:rPr>
                <w:rFonts w:ascii="Arial" w:hAnsi="Arial" w:cs="Arial"/>
                <w:sz w:val="20"/>
                <w:szCs w:val="20"/>
              </w:rPr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16FA97CC" w14:textId="77777777" w:rsidTr="00FF16B8">
        <w:trPr>
          <w:trHeight w:val="211"/>
        </w:trPr>
        <w:tc>
          <w:tcPr>
            <w:tcW w:w="6008" w:type="dxa"/>
          </w:tcPr>
          <w:p w14:paraId="17BD97C8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F749810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2CD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2CD5">
              <w:rPr>
                <w:rFonts w:ascii="Arial" w:hAnsi="Arial" w:cs="Arial"/>
                <w:sz w:val="20"/>
                <w:szCs w:val="20"/>
              </w:rPr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01370D9" w14:textId="77777777" w:rsidTr="00FF16B8">
        <w:trPr>
          <w:trHeight w:val="211"/>
        </w:trPr>
        <w:tc>
          <w:tcPr>
            <w:tcW w:w="6008" w:type="dxa"/>
          </w:tcPr>
          <w:p w14:paraId="269E3BDC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B72CD5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F6B3D17" w14:textId="7F0739F8" w:rsidR="004D18E8" w:rsidRPr="00B72CD5" w:rsidRDefault="00304523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Others"/>
                    <w:listEntry w:val="Leading Self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B0969D0" w14:textId="77777777" w:rsidTr="00FF16B8">
        <w:trPr>
          <w:trHeight w:val="211"/>
        </w:trPr>
        <w:tc>
          <w:tcPr>
            <w:tcW w:w="6008" w:type="dxa"/>
          </w:tcPr>
          <w:p w14:paraId="34DD1856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0FB7D7A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2CD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2CD5">
              <w:rPr>
                <w:rFonts w:ascii="Arial" w:hAnsi="Arial" w:cs="Arial"/>
                <w:sz w:val="20"/>
                <w:szCs w:val="20"/>
              </w:rPr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2C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53B710A" w14:textId="77777777" w:rsidTr="00FF16B8">
        <w:trPr>
          <w:trHeight w:val="211"/>
        </w:trPr>
        <w:tc>
          <w:tcPr>
            <w:tcW w:w="6008" w:type="dxa"/>
          </w:tcPr>
          <w:p w14:paraId="632D4F1D" w14:textId="77777777" w:rsidR="004D18E8" w:rsidRPr="00B72CD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D5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B72CD5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C4103CB" w14:textId="5352B2FE" w:rsidR="004D18E8" w:rsidRPr="00B72CD5" w:rsidRDefault="00A918D4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Others"/>
                    <w:listEntry w:val="Leading Self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46502D55" w14:textId="77777777" w:rsidTr="00A947A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146C74DC" w14:textId="106F016B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</w:tcPr>
          <w:p w14:paraId="1FCBE8CD" w14:textId="77777777" w:rsidR="00E40AC5" w:rsidRPr="00B75089" w:rsidRDefault="00E40AC5" w:rsidP="00DB2134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6CAEC1E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bottom"/>
          </w:tcPr>
          <w:p w14:paraId="0750EAE6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1BB0910A" w14:textId="77777777" w:rsidTr="00AF4D80">
        <w:trPr>
          <w:cantSplit/>
          <w:trHeight w:val="334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CE7DD10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361877B8" w14:textId="202A23D6" w:rsidR="00E40AC5" w:rsidRPr="00E420EE" w:rsidRDefault="003C6341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ACCA</w:t>
            </w:r>
            <w:r w:rsidR="00231D2F" w:rsidRPr="00E420EE">
              <w:rPr>
                <w:rFonts w:ascii="Arial" w:eastAsia="Calibri" w:hAnsi="Arial" w:cs="Arial"/>
                <w:sz w:val="20"/>
                <w:szCs w:val="20"/>
              </w:rPr>
              <w:t xml:space="preserve"> qualification </w:t>
            </w:r>
            <w:r w:rsidR="00DB2134" w:rsidRPr="00E420EE">
              <w:rPr>
                <w:rFonts w:ascii="Arial" w:eastAsia="Calibri" w:hAnsi="Arial" w:cs="Arial"/>
                <w:sz w:val="20"/>
                <w:szCs w:val="20"/>
              </w:rPr>
              <w:t>(or similar)</w:t>
            </w:r>
            <w:r w:rsidR="00DB213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231D2F" w:rsidRPr="00E420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5B95AB1" w14:textId="12B47EAE" w:rsidR="00E420EE" w:rsidRPr="00E420EE" w:rsidRDefault="00E420EE" w:rsidP="00E420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42D927CB" w14:textId="436EF4DC" w:rsidR="00E420EE" w:rsidRPr="00E420EE" w:rsidRDefault="00E420EE" w:rsidP="00E420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1FD87B61" w14:textId="316C9C20" w:rsidR="00E420EE" w:rsidRPr="00E420EE" w:rsidRDefault="00E420EE" w:rsidP="00E420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30815869" w14:textId="2EAE32F8" w:rsidR="00E420EE" w:rsidRPr="00E420EE" w:rsidRDefault="00E420EE" w:rsidP="00E420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a </w:t>
            </w:r>
            <w:r w:rsidR="00A7731C">
              <w:rPr>
                <w:rFonts w:ascii="Arial" w:eastAsia="Calibri" w:hAnsi="Arial" w:cs="Arial"/>
                <w:sz w:val="20"/>
                <w:szCs w:val="20"/>
              </w:rPr>
              <w:t xml:space="preserve">strong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working knowledge of Word, Excel, Outlook and Powerpoint</w:t>
            </w:r>
          </w:p>
          <w:p w14:paraId="744D1BEC" w14:textId="77AE04CE" w:rsidR="00E40AC5" w:rsidRPr="00E420EE" w:rsidRDefault="00E420EE" w:rsidP="00E420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>trong analytical skills</w:t>
            </w:r>
          </w:p>
          <w:p w14:paraId="30A21838" w14:textId="359019EC" w:rsidR="00182B6C" w:rsidRDefault="00E420EE" w:rsidP="00AF4D8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>trong inter-personal skills</w:t>
            </w:r>
          </w:p>
          <w:p w14:paraId="63B59D91" w14:textId="57E5E9D2" w:rsidR="00B65565" w:rsidRPr="00AF4D80" w:rsidRDefault="00182B6C" w:rsidP="00AF4D8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nowledge of investment accounting.</w:t>
            </w:r>
          </w:p>
        </w:tc>
        <w:tc>
          <w:tcPr>
            <w:tcW w:w="4394" w:type="dxa"/>
          </w:tcPr>
          <w:p w14:paraId="37D2EE32" w14:textId="06F6C1A1" w:rsidR="00B65565" w:rsidRPr="00E420EE" w:rsidRDefault="00B65565" w:rsidP="00B6556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Experience of working in a similar role as part of a finance team is essential</w:t>
            </w:r>
          </w:p>
          <w:p w14:paraId="7B6C75E3" w14:textId="77777777" w:rsidR="00770569" w:rsidRPr="00E420EE" w:rsidRDefault="00770569" w:rsidP="0077056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Accounting for investments</w:t>
            </w:r>
          </w:p>
          <w:p w14:paraId="496AA7B4" w14:textId="4DEAFC6F" w:rsidR="00AF4D80" w:rsidRPr="00AF4D80" w:rsidRDefault="00AF4D80" w:rsidP="00AF4D8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Involvement in the improvement of systems and/or processes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FF16B8" w:rsidRPr="00B75089" w14:paraId="5FD1BF24" w14:textId="77777777" w:rsidTr="00AF4D80">
        <w:trPr>
          <w:cantSplit/>
          <w:trHeight w:val="114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FB8EEA5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54A80AC1" w14:textId="69FB488C" w:rsidR="00E40AC5" w:rsidRPr="00E420EE" w:rsidRDefault="00A7731C" w:rsidP="00EC71E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  <w:r w:rsidR="00DB213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E35A9A9" w14:textId="2A47FA94" w:rsidR="00AF4D80" w:rsidRDefault="00AF4D80" w:rsidP="00AF4D8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Working with </w:t>
            </w:r>
            <w:r w:rsidR="00E420EE" w:rsidRPr="00E420EE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>ODA</w:t>
            </w:r>
            <w:r w:rsidR="00182B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10EF9C2" w14:textId="418F67DB" w:rsidR="00182B6C" w:rsidRDefault="00182B6C" w:rsidP="00AF4D8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with Clearwater.</w:t>
            </w:r>
          </w:p>
          <w:p w14:paraId="4DB16DA5" w14:textId="15E25584" w:rsidR="00E40AC5" w:rsidRPr="00AF4D80" w:rsidRDefault="00E40AC5" w:rsidP="00182B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C8437C" w14:textId="6F1F986F" w:rsidR="00E40AC5" w:rsidRPr="00AF4D80" w:rsidRDefault="00B65565" w:rsidP="00AF4D8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Involvement in the budget process</w:t>
            </w:r>
            <w:r w:rsidR="00AF4D8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14:paraId="0C9EB2C8" w14:textId="77777777" w:rsidR="0056188D" w:rsidRPr="00B75089" w:rsidRDefault="0056188D" w:rsidP="00A947A9">
      <w:pPr>
        <w:spacing w:after="0"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0EFC" w14:textId="77777777" w:rsidR="00D8461A" w:rsidRDefault="00D8461A" w:rsidP="009E22D0">
      <w:pPr>
        <w:spacing w:after="0" w:line="240" w:lineRule="auto"/>
      </w:pPr>
      <w:r>
        <w:separator/>
      </w:r>
    </w:p>
  </w:endnote>
  <w:endnote w:type="continuationSeparator" w:id="0">
    <w:p w14:paraId="2AB15389" w14:textId="77777777" w:rsidR="00D8461A" w:rsidRDefault="00D8461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0FC8" w14:textId="77777777" w:rsidR="00D8461A" w:rsidRDefault="00D8461A" w:rsidP="009E22D0">
      <w:pPr>
        <w:spacing w:after="0" w:line="240" w:lineRule="auto"/>
      </w:pPr>
      <w:r>
        <w:separator/>
      </w:r>
    </w:p>
  </w:footnote>
  <w:footnote w:type="continuationSeparator" w:id="0">
    <w:p w14:paraId="411A7DE4" w14:textId="77777777" w:rsidR="00D8461A" w:rsidRDefault="00D8461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A36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2AAC46C" wp14:editId="1C3E60BE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30C"/>
    <w:multiLevelType w:val="hybridMultilevel"/>
    <w:tmpl w:val="B2E2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AE9E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D07E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62961">
    <w:abstractNumId w:val="7"/>
  </w:num>
  <w:num w:numId="2" w16cid:durableId="950281170">
    <w:abstractNumId w:val="1"/>
  </w:num>
  <w:num w:numId="3" w16cid:durableId="176044855">
    <w:abstractNumId w:val="5"/>
  </w:num>
  <w:num w:numId="4" w16cid:durableId="988434418">
    <w:abstractNumId w:val="4"/>
  </w:num>
  <w:num w:numId="5" w16cid:durableId="153647584">
    <w:abstractNumId w:val="6"/>
  </w:num>
  <w:num w:numId="6" w16cid:durableId="1574850359">
    <w:abstractNumId w:val="2"/>
  </w:num>
  <w:num w:numId="7" w16cid:durableId="2061201767">
    <w:abstractNumId w:val="9"/>
  </w:num>
  <w:num w:numId="8" w16cid:durableId="1284843129">
    <w:abstractNumId w:val="14"/>
  </w:num>
  <w:num w:numId="9" w16cid:durableId="1762994712">
    <w:abstractNumId w:val="15"/>
  </w:num>
  <w:num w:numId="10" w16cid:durableId="184365405">
    <w:abstractNumId w:val="12"/>
  </w:num>
  <w:num w:numId="11" w16cid:durableId="1045375378">
    <w:abstractNumId w:val="3"/>
  </w:num>
  <w:num w:numId="12" w16cid:durableId="500463545">
    <w:abstractNumId w:val="13"/>
  </w:num>
  <w:num w:numId="13" w16cid:durableId="1795979129">
    <w:abstractNumId w:val="10"/>
  </w:num>
  <w:num w:numId="14" w16cid:durableId="161434478">
    <w:abstractNumId w:val="11"/>
  </w:num>
  <w:num w:numId="15" w16cid:durableId="1757507510">
    <w:abstractNumId w:val="8"/>
  </w:num>
  <w:num w:numId="16" w16cid:durableId="75602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4D49"/>
    <w:rsid w:val="00071649"/>
    <w:rsid w:val="00082F60"/>
    <w:rsid w:val="00086DF7"/>
    <w:rsid w:val="000A72C4"/>
    <w:rsid w:val="000E42F9"/>
    <w:rsid w:val="000E4361"/>
    <w:rsid w:val="00130E82"/>
    <w:rsid w:val="00135F78"/>
    <w:rsid w:val="001459DA"/>
    <w:rsid w:val="00147552"/>
    <w:rsid w:val="0015016B"/>
    <w:rsid w:val="001756F8"/>
    <w:rsid w:val="00182B6C"/>
    <w:rsid w:val="00182BFF"/>
    <w:rsid w:val="0019031D"/>
    <w:rsid w:val="00191A37"/>
    <w:rsid w:val="001D305E"/>
    <w:rsid w:val="00231D2F"/>
    <w:rsid w:val="002552D9"/>
    <w:rsid w:val="00293AC9"/>
    <w:rsid w:val="002B557F"/>
    <w:rsid w:val="002D7ABB"/>
    <w:rsid w:val="002F291B"/>
    <w:rsid w:val="00304523"/>
    <w:rsid w:val="00307FF0"/>
    <w:rsid w:val="00314B9C"/>
    <w:rsid w:val="00336E37"/>
    <w:rsid w:val="003376C2"/>
    <w:rsid w:val="0035712D"/>
    <w:rsid w:val="00374CDF"/>
    <w:rsid w:val="00394CA1"/>
    <w:rsid w:val="003A4734"/>
    <w:rsid w:val="003B6179"/>
    <w:rsid w:val="003C206B"/>
    <w:rsid w:val="003C6341"/>
    <w:rsid w:val="003E4D53"/>
    <w:rsid w:val="004815E1"/>
    <w:rsid w:val="00495FFF"/>
    <w:rsid w:val="004A1F5C"/>
    <w:rsid w:val="004D18E8"/>
    <w:rsid w:val="004D37CB"/>
    <w:rsid w:val="005542D1"/>
    <w:rsid w:val="0056188D"/>
    <w:rsid w:val="00576E6B"/>
    <w:rsid w:val="005C5A29"/>
    <w:rsid w:val="005E1887"/>
    <w:rsid w:val="005E208D"/>
    <w:rsid w:val="005E69B5"/>
    <w:rsid w:val="00603EC2"/>
    <w:rsid w:val="00616E54"/>
    <w:rsid w:val="006219B1"/>
    <w:rsid w:val="00623496"/>
    <w:rsid w:val="00627C58"/>
    <w:rsid w:val="00644BB2"/>
    <w:rsid w:val="006464C1"/>
    <w:rsid w:val="00657CE0"/>
    <w:rsid w:val="006612BE"/>
    <w:rsid w:val="00666EB3"/>
    <w:rsid w:val="0067364A"/>
    <w:rsid w:val="006D0573"/>
    <w:rsid w:val="006F54B6"/>
    <w:rsid w:val="00711E46"/>
    <w:rsid w:val="00714AC8"/>
    <w:rsid w:val="00717094"/>
    <w:rsid w:val="00750C71"/>
    <w:rsid w:val="00770569"/>
    <w:rsid w:val="007762EE"/>
    <w:rsid w:val="00781F88"/>
    <w:rsid w:val="007921B1"/>
    <w:rsid w:val="007C5605"/>
    <w:rsid w:val="007E66A9"/>
    <w:rsid w:val="007E7CA1"/>
    <w:rsid w:val="007F40C4"/>
    <w:rsid w:val="00807E70"/>
    <w:rsid w:val="008117D4"/>
    <w:rsid w:val="00813AEB"/>
    <w:rsid w:val="00815BA1"/>
    <w:rsid w:val="008B0923"/>
    <w:rsid w:val="008D6713"/>
    <w:rsid w:val="00923D17"/>
    <w:rsid w:val="00975FA8"/>
    <w:rsid w:val="00987B27"/>
    <w:rsid w:val="009D142D"/>
    <w:rsid w:val="009E22D0"/>
    <w:rsid w:val="009F4215"/>
    <w:rsid w:val="009F5D0A"/>
    <w:rsid w:val="00A2721F"/>
    <w:rsid w:val="00A4414A"/>
    <w:rsid w:val="00A467D0"/>
    <w:rsid w:val="00A63D95"/>
    <w:rsid w:val="00A65A21"/>
    <w:rsid w:val="00A7731C"/>
    <w:rsid w:val="00A918D4"/>
    <w:rsid w:val="00A947A9"/>
    <w:rsid w:val="00A95FEC"/>
    <w:rsid w:val="00AA56CA"/>
    <w:rsid w:val="00AB2A09"/>
    <w:rsid w:val="00AC3C85"/>
    <w:rsid w:val="00AD34A1"/>
    <w:rsid w:val="00AF4D80"/>
    <w:rsid w:val="00B270A3"/>
    <w:rsid w:val="00B415B5"/>
    <w:rsid w:val="00B619EC"/>
    <w:rsid w:val="00B65565"/>
    <w:rsid w:val="00B67429"/>
    <w:rsid w:val="00B72CD5"/>
    <w:rsid w:val="00B75089"/>
    <w:rsid w:val="00B86BC5"/>
    <w:rsid w:val="00B87D4C"/>
    <w:rsid w:val="00BE3243"/>
    <w:rsid w:val="00BE4B13"/>
    <w:rsid w:val="00C36D77"/>
    <w:rsid w:val="00C91CFA"/>
    <w:rsid w:val="00CA3F6E"/>
    <w:rsid w:val="00CD0A3F"/>
    <w:rsid w:val="00CE424C"/>
    <w:rsid w:val="00D41F6B"/>
    <w:rsid w:val="00D45607"/>
    <w:rsid w:val="00D8461A"/>
    <w:rsid w:val="00DA7D87"/>
    <w:rsid w:val="00DB2134"/>
    <w:rsid w:val="00DC2989"/>
    <w:rsid w:val="00DC593B"/>
    <w:rsid w:val="00E07713"/>
    <w:rsid w:val="00E40AC5"/>
    <w:rsid w:val="00E420EE"/>
    <w:rsid w:val="00E44705"/>
    <w:rsid w:val="00E5427F"/>
    <w:rsid w:val="00EB3FC4"/>
    <w:rsid w:val="00EC71EF"/>
    <w:rsid w:val="00EE3AA5"/>
    <w:rsid w:val="00F5319A"/>
    <w:rsid w:val="00F7292A"/>
    <w:rsid w:val="00F85E3B"/>
    <w:rsid w:val="00FB4711"/>
    <w:rsid w:val="00FC4ED5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64B9E"/>
  <w15:docId w15:val="{7DB2CA80-98DA-48A8-B4C5-BC243D87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4A1F5C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6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E2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79686860-40D2-436F-BA52-CC4B681596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Mark Longfellow</cp:lastModifiedBy>
  <cp:revision>5</cp:revision>
  <dcterms:created xsi:type="dcterms:W3CDTF">2025-04-28T16:08:00Z</dcterms:created>
  <dcterms:modified xsi:type="dcterms:W3CDTF">2025-05-16T14:07:00Z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KkhoDxU+lGcQck+el3mT//PEGX3O/rpd</vt:lpwstr>
  </property>
</Properties>
</file>