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087A249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01FC55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3DE1C33D" w14:textId="10F3D700" w:rsidR="00F5319A" w:rsidRPr="00B75089" w:rsidRDefault="001E587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 Time 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0BDCF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7727E4F6" w14:textId="319A95A7" w:rsidR="00F5319A" w:rsidRPr="00B75089" w:rsidRDefault="005066FF" w:rsidP="00844936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Leader</w:t>
            </w:r>
            <w:r w:rsidR="007E0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5236">
              <w:rPr>
                <w:rFonts w:ascii="Arial" w:hAnsi="Arial" w:cs="Arial"/>
                <w:sz w:val="20"/>
                <w:szCs w:val="20"/>
              </w:rPr>
              <w:t>–</w:t>
            </w:r>
            <w:r w:rsidR="007E0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5236">
              <w:rPr>
                <w:rFonts w:ascii="Arial" w:hAnsi="Arial" w:cs="Arial"/>
                <w:sz w:val="20"/>
                <w:szCs w:val="20"/>
              </w:rPr>
              <w:t>Support Services</w:t>
            </w:r>
          </w:p>
        </w:tc>
      </w:tr>
      <w:tr w:rsidR="00F5319A" w:rsidRPr="00B75089" w14:paraId="064EEB8F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E699A2A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44C40AF" w14:textId="77777777" w:rsidR="00F5319A" w:rsidRPr="00450A4D" w:rsidRDefault="005066FF" w:rsidP="00450A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0A4D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5A4420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DF47590" w14:textId="77777777" w:rsidR="00F5319A" w:rsidRPr="00B75089" w:rsidRDefault="00BA194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Sales and Service</w:t>
            </w:r>
          </w:p>
        </w:tc>
      </w:tr>
      <w:tr w:rsidR="00F5319A" w:rsidRPr="00B75089" w14:paraId="680FB20E" w14:textId="77777777" w:rsidTr="00450A4D">
        <w:trPr>
          <w:trHeight w:val="368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1CAF830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44342BF" w14:textId="105D0728" w:rsidR="00F5319A" w:rsidRPr="00B75089" w:rsidRDefault="00BA1949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450A4D">
              <w:rPr>
                <w:rFonts w:ascii="Arial" w:hAnsi="Arial" w:cs="Arial"/>
                <w:sz w:val="20"/>
                <w:szCs w:val="20"/>
              </w:rPr>
              <w:t xml:space="preserve"> direct reports</w:t>
            </w:r>
          </w:p>
          <w:p w14:paraId="736455A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B35DCD3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2B39EB96" w14:textId="6F88CB8F" w:rsidR="00B75089" w:rsidRPr="00B75089" w:rsidRDefault="00450A4D" w:rsidP="0039251C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 </w:t>
            </w:r>
            <w:r w:rsidR="0039251C">
              <w:rPr>
                <w:rFonts w:ascii="Arial" w:hAnsi="Arial" w:cs="Arial"/>
                <w:sz w:val="20"/>
                <w:szCs w:val="20"/>
              </w:rPr>
              <w:t>&amp; Ireland</w:t>
            </w:r>
          </w:p>
        </w:tc>
      </w:tr>
      <w:tr w:rsidR="00F5319A" w:rsidRPr="00B75089" w14:paraId="6592F549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D2EB7C0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44C137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93D0D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2BE9CD3" w14:textId="5DC86E41" w:rsidR="00F5319A" w:rsidRPr="00B75089" w:rsidRDefault="00450A4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09E0CCD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1D8D8E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706B9B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80E7A9E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E82C588" w14:textId="64F1D28F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2D7B6695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101F5D87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E53BC77" w14:textId="119677D0" w:rsidR="007E7CA1" w:rsidRPr="00B75089" w:rsidRDefault="00BA194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450A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8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D71F275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76F2215" w14:textId="64DE2F19" w:rsidR="007E7CA1" w:rsidRPr="00450A4D" w:rsidRDefault="00450A4D" w:rsidP="00450A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50A4D">
              <w:rPr>
                <w:rFonts w:ascii="Arial" w:hAnsi="Arial" w:cs="Arial"/>
                <w:sz w:val="20"/>
                <w:szCs w:val="20"/>
              </w:rPr>
              <w:t xml:space="preserve">Business and Operational Services </w:t>
            </w:r>
          </w:p>
        </w:tc>
      </w:tr>
    </w:tbl>
    <w:p w14:paraId="721B2BA1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15FADB3E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765C6F6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E8E6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6961C1CA" w14:textId="77777777" w:rsidTr="009E22D0">
        <w:trPr>
          <w:trHeight w:val="693"/>
        </w:trPr>
        <w:tc>
          <w:tcPr>
            <w:tcW w:w="10509" w:type="dxa"/>
          </w:tcPr>
          <w:p w14:paraId="14179FFF" w14:textId="4C4E3D7E" w:rsidR="009E22D0" w:rsidRPr="005066FF" w:rsidRDefault="00D043F3" w:rsidP="0069193F">
            <w:pPr>
              <w:pStyle w:val="ListParagraph"/>
              <w:autoSpaceDE w:val="0"/>
              <w:ind w:left="0"/>
              <w:rPr>
                <w:rFonts w:ascii="Arial" w:hAnsi="Arial" w:cs="Arial"/>
                <w:color w:val="000000"/>
              </w:rPr>
            </w:pPr>
            <w:r w:rsidRPr="00D043F3">
              <w:rPr>
                <w:rFonts w:ascii="Arial" w:hAnsi="Arial" w:cs="Arial"/>
                <w:sz w:val="20"/>
                <w:szCs w:val="20"/>
              </w:rPr>
              <w:t xml:space="preserve">The Direct Sales and Service </w:t>
            </w:r>
            <w:r w:rsidR="00450A4D">
              <w:rPr>
                <w:rFonts w:ascii="Arial" w:hAnsi="Arial" w:cs="Arial"/>
                <w:sz w:val="20"/>
                <w:szCs w:val="20"/>
              </w:rPr>
              <w:t>d</w:t>
            </w:r>
            <w:r w:rsidRPr="00D043F3">
              <w:rPr>
                <w:rFonts w:ascii="Arial" w:hAnsi="Arial" w:cs="Arial"/>
                <w:sz w:val="20"/>
                <w:szCs w:val="20"/>
              </w:rPr>
              <w:t xml:space="preserve">ivision </w:t>
            </w:r>
            <w:r w:rsidR="0077307D">
              <w:rPr>
                <w:rFonts w:ascii="Arial" w:hAnsi="Arial" w:cs="Arial"/>
                <w:sz w:val="20"/>
                <w:szCs w:val="20"/>
              </w:rPr>
              <w:t>provides</w:t>
            </w:r>
            <w:r w:rsidRPr="00D043F3">
              <w:rPr>
                <w:rFonts w:ascii="Arial" w:hAnsi="Arial" w:cs="Arial"/>
                <w:sz w:val="20"/>
                <w:szCs w:val="20"/>
              </w:rPr>
              <w:t xml:space="preserve"> excellent contact centre services for members which </w:t>
            </w:r>
            <w:proofErr w:type="gramStart"/>
            <w:r w:rsidRPr="00D043F3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D043F3">
              <w:rPr>
                <w:rFonts w:ascii="Arial" w:hAnsi="Arial" w:cs="Arial"/>
                <w:sz w:val="20"/>
                <w:szCs w:val="20"/>
              </w:rPr>
              <w:t xml:space="preserve"> trusted</w:t>
            </w:r>
            <w:r w:rsidR="001659BE">
              <w:rPr>
                <w:rFonts w:ascii="Arial" w:hAnsi="Arial" w:cs="Arial"/>
                <w:sz w:val="20"/>
                <w:szCs w:val="20"/>
              </w:rPr>
              <w:t>,</w:t>
            </w:r>
            <w:r w:rsidRPr="00D043F3">
              <w:rPr>
                <w:rFonts w:ascii="Arial" w:hAnsi="Arial" w:cs="Arial"/>
                <w:sz w:val="20"/>
                <w:szCs w:val="20"/>
              </w:rPr>
              <w:t xml:space="preserve"> valued</w:t>
            </w:r>
            <w:r w:rsidR="0077307D">
              <w:rPr>
                <w:rFonts w:ascii="Arial" w:hAnsi="Arial" w:cs="Arial"/>
                <w:sz w:val="20"/>
                <w:szCs w:val="20"/>
              </w:rPr>
              <w:t xml:space="preserve"> and provides fair treatment and outcomes</w:t>
            </w:r>
            <w:r w:rsidRPr="00D043F3">
              <w:rPr>
                <w:rFonts w:ascii="Arial" w:hAnsi="Arial" w:cs="Arial"/>
                <w:sz w:val="20"/>
                <w:szCs w:val="20"/>
              </w:rPr>
              <w:t>. The purpose of the role</w:t>
            </w:r>
            <w:r w:rsidR="00165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5DB">
              <w:rPr>
                <w:rFonts w:ascii="Arial" w:hAnsi="Arial" w:cs="Arial"/>
                <w:sz w:val="20"/>
                <w:szCs w:val="20"/>
              </w:rPr>
              <w:t>is</w:t>
            </w:r>
            <w:r w:rsidR="0069193F">
              <w:rPr>
                <w:rFonts w:ascii="Arial" w:hAnsi="Arial" w:cs="Arial"/>
                <w:sz w:val="20"/>
                <w:szCs w:val="20"/>
              </w:rPr>
              <w:t xml:space="preserve"> to provide information to support</w:t>
            </w:r>
            <w:r w:rsidR="008F6E75">
              <w:rPr>
                <w:rFonts w:ascii="Arial" w:hAnsi="Arial" w:cs="Arial"/>
                <w:sz w:val="20"/>
                <w:szCs w:val="20"/>
              </w:rPr>
              <w:t xml:space="preserve"> manage</w:t>
            </w:r>
            <w:r w:rsidR="0069193F">
              <w:rPr>
                <w:rFonts w:ascii="Arial" w:hAnsi="Arial" w:cs="Arial"/>
                <w:sz w:val="20"/>
                <w:szCs w:val="20"/>
              </w:rPr>
              <w:t>ment with performance and</w:t>
            </w:r>
            <w:r w:rsidR="008F6E75">
              <w:rPr>
                <w:rFonts w:ascii="Arial" w:hAnsi="Arial" w:cs="Arial"/>
                <w:sz w:val="20"/>
                <w:szCs w:val="20"/>
              </w:rPr>
              <w:t xml:space="preserve"> to drive best results through tactical changes and effective deployment of resources. </w:t>
            </w:r>
          </w:p>
        </w:tc>
      </w:tr>
    </w:tbl>
    <w:p w14:paraId="66545F83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43C5C290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4DE10B7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1BD2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541803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0A70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174AAB6" w14:textId="77777777" w:rsidR="009E22D0" w:rsidRPr="00B75089" w:rsidRDefault="009E22D0" w:rsidP="00D043F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5D457A37" w14:textId="77777777" w:rsidTr="009E22D0">
        <w:trPr>
          <w:trHeight w:val="578"/>
        </w:trPr>
        <w:tc>
          <w:tcPr>
            <w:tcW w:w="6346" w:type="dxa"/>
          </w:tcPr>
          <w:p w14:paraId="73EB9061" w14:textId="3FB2BC05" w:rsidR="00F516B3" w:rsidRDefault="00AD34A1" w:rsidP="00F516B3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37A48F06" w14:textId="04ED2888" w:rsidR="00722099" w:rsidRPr="00FC4DBA" w:rsidRDefault="00FC4DBA" w:rsidP="00FC4DBA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Proactively manage all resource at your disposal to achieve the optimum level of call handling performance for intraday and week across all planned models.  </w:t>
            </w:r>
          </w:p>
        </w:tc>
        <w:tc>
          <w:tcPr>
            <w:tcW w:w="4141" w:type="dxa"/>
          </w:tcPr>
          <w:p w14:paraId="3F0FA874" w14:textId="77777777" w:rsidR="001C2B56" w:rsidRPr="001C2B56" w:rsidRDefault="001C2B56" w:rsidP="001C2B5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56FC9BB" w14:textId="6623BFD8" w:rsidR="00461259" w:rsidRPr="00B75089" w:rsidRDefault="00F516B3" w:rsidP="0046125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Operational scorecard </w:t>
            </w:r>
            <w:r w:rsidR="00FD0362">
              <w:rPr>
                <w:rFonts w:ascii="Arial" w:hAnsi="Arial" w:cs="Arial"/>
                <w:sz w:val="20"/>
                <w:szCs w:val="20"/>
              </w:rPr>
              <w:t>(KPI’s) vs Plan</w:t>
            </w:r>
          </w:p>
          <w:p w14:paraId="6B4A7562" w14:textId="77777777" w:rsidR="00DF0140" w:rsidRDefault="00F516B3" w:rsidP="002537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against strategic objectives</w:t>
            </w:r>
          </w:p>
          <w:p w14:paraId="56BE4AB9" w14:textId="22862A83" w:rsidR="00FD0362" w:rsidRPr="00B75089" w:rsidRDefault="00FD0362" w:rsidP="002537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</w:tc>
      </w:tr>
      <w:tr w:rsidR="009E22D0" w:rsidRPr="00B75089" w14:paraId="3031AE2F" w14:textId="77777777" w:rsidTr="009E22D0">
        <w:trPr>
          <w:trHeight w:val="578"/>
        </w:trPr>
        <w:tc>
          <w:tcPr>
            <w:tcW w:w="6346" w:type="dxa"/>
          </w:tcPr>
          <w:p w14:paraId="611846D8" w14:textId="77777777" w:rsidR="009E22D0" w:rsidRDefault="009E22D0" w:rsidP="00DE5E9F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C403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2890113" w14:textId="13DBEF99" w:rsidR="00DE5E9F" w:rsidRPr="00DE5E9F" w:rsidRDefault="00083C3E" w:rsidP="00083C3E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Support operational costs through effective resource management and intraday analysis </w:t>
            </w:r>
          </w:p>
        </w:tc>
        <w:tc>
          <w:tcPr>
            <w:tcW w:w="4141" w:type="dxa"/>
          </w:tcPr>
          <w:p w14:paraId="1CFB1716" w14:textId="77777777" w:rsidR="001C2B56" w:rsidRDefault="001C2B56" w:rsidP="001C2B5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96AF38" w14:textId="77777777" w:rsidR="00FD0362" w:rsidRDefault="00FD0362" w:rsidP="00FD03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scorecard (KPI’s) vs Plan</w:t>
            </w:r>
          </w:p>
          <w:p w14:paraId="424C3BCF" w14:textId="77777777" w:rsidR="009E22D0" w:rsidRDefault="00FD0362" w:rsidP="00FD03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D0362">
              <w:rPr>
                <w:rFonts w:ascii="Arial" w:hAnsi="Arial" w:cs="Arial"/>
                <w:sz w:val="20"/>
                <w:szCs w:val="20"/>
              </w:rPr>
              <w:t xml:space="preserve">Operational budget vs Plan </w:t>
            </w:r>
          </w:p>
          <w:p w14:paraId="1D49B857" w14:textId="28CCCB6A" w:rsidR="009D6FCA" w:rsidRPr="00FD0362" w:rsidRDefault="009D6FCA" w:rsidP="009D6FC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4CBE028" w14:textId="77777777" w:rsidTr="009E22D0">
        <w:trPr>
          <w:trHeight w:val="578"/>
        </w:trPr>
        <w:tc>
          <w:tcPr>
            <w:tcW w:w="6346" w:type="dxa"/>
          </w:tcPr>
          <w:p w14:paraId="7CF40CF9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8202B30" w14:textId="7AE31856" w:rsidR="00CE53BD" w:rsidRPr="00FD0362" w:rsidRDefault="00181EFC" w:rsidP="00181EFC">
            <w:pPr>
              <w:pStyle w:val="CommentText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an excellent Member journey by supporting the delivery of service level targets within the contact centre. </w:t>
            </w:r>
          </w:p>
        </w:tc>
        <w:tc>
          <w:tcPr>
            <w:tcW w:w="4141" w:type="dxa"/>
          </w:tcPr>
          <w:p w14:paraId="0525D883" w14:textId="77777777" w:rsidR="001C2B56" w:rsidRDefault="001C2B56" w:rsidP="001C2B5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38F3E31" w14:textId="77777777" w:rsidR="00FD0362" w:rsidRPr="004F476E" w:rsidRDefault="00FD0362" w:rsidP="00DE5E9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476E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4D35D4D0" w14:textId="77777777" w:rsidR="00FD0362" w:rsidRPr="004F476E" w:rsidRDefault="00FD0362" w:rsidP="00DE5E9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476E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728D31AE" w14:textId="77777777" w:rsidR="009E22D0" w:rsidRDefault="00FD0362" w:rsidP="00DE5E9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476E">
              <w:rPr>
                <w:rFonts w:ascii="Arial" w:hAnsi="Arial" w:cs="Arial"/>
                <w:sz w:val="20"/>
                <w:szCs w:val="20"/>
              </w:rPr>
              <w:t>Member Experience Scores</w:t>
            </w:r>
            <w:r w:rsidR="009D6F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EFC7AC" w14:textId="273B1113" w:rsidR="009D6FCA" w:rsidRPr="00DE5E9F" w:rsidRDefault="00DE5E9F" w:rsidP="00DE5E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scorecard (KPI’s) vs Plan</w:t>
            </w:r>
          </w:p>
        </w:tc>
      </w:tr>
      <w:tr w:rsidR="009E22D0" w:rsidRPr="00B75089" w14:paraId="08ACA27D" w14:textId="77777777" w:rsidTr="009E22D0">
        <w:trPr>
          <w:trHeight w:val="591"/>
        </w:trPr>
        <w:tc>
          <w:tcPr>
            <w:tcW w:w="6346" w:type="dxa"/>
          </w:tcPr>
          <w:p w14:paraId="2ABDA4A8" w14:textId="1FA83692" w:rsidR="00796E90" w:rsidRDefault="009E22D0" w:rsidP="002C41C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4956E72" w14:textId="673A8539" w:rsidR="009F032A" w:rsidRDefault="009F032A" w:rsidP="00FD61C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</w:t>
            </w:r>
          </w:p>
          <w:p w14:paraId="4B15D564" w14:textId="77777777" w:rsidR="00CE53BD" w:rsidRPr="009F032A" w:rsidRDefault="009F032A" w:rsidP="00FD61C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2627">
              <w:rPr>
                <w:rFonts w:ascii="Arial" w:hAnsi="Arial" w:cs="Arial"/>
                <w:sz w:val="20"/>
                <w:szCs w:val="20"/>
              </w:rPr>
              <w:t>Proactively engage in people processes e.g. 121s, team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AD3C9" w14:textId="5BA2848F" w:rsidR="009F032A" w:rsidRPr="002C41C8" w:rsidRDefault="009F032A" w:rsidP="00FD61CF">
            <w:pPr>
              <w:pStyle w:val="ListParagraph"/>
              <w:numPr>
                <w:ilvl w:val="0"/>
                <w:numId w:val="2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Proactively engage with line managers and stakeholders to build relationships</w:t>
            </w:r>
          </w:p>
        </w:tc>
        <w:tc>
          <w:tcPr>
            <w:tcW w:w="4141" w:type="dxa"/>
          </w:tcPr>
          <w:p w14:paraId="75FB9C69" w14:textId="77777777" w:rsidR="001C2B56" w:rsidRDefault="001C2B56" w:rsidP="001C2B56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AC528B" w14:textId="77777777" w:rsidR="00644BB2" w:rsidRPr="002D7ABB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DE775A2" w14:textId="77777777" w:rsidR="00644BB2" w:rsidRDefault="00644BB2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61C8E37" w14:textId="60888103" w:rsidR="0020276C" w:rsidRPr="00644BB2" w:rsidRDefault="0020276C" w:rsidP="00644BB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 feedback from stakeholders</w:t>
            </w:r>
          </w:p>
          <w:p w14:paraId="3398D192" w14:textId="77777777" w:rsidR="009E22D0" w:rsidRPr="00B75089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0B36350" w14:textId="77777777" w:rsidTr="009E22D0">
        <w:trPr>
          <w:trHeight w:val="591"/>
        </w:trPr>
        <w:tc>
          <w:tcPr>
            <w:tcW w:w="6346" w:type="dxa"/>
          </w:tcPr>
          <w:p w14:paraId="61E23DB8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FA7CB0C" w14:textId="09412176" w:rsidR="009D6FCA" w:rsidRPr="006C373C" w:rsidRDefault="009D6FCA" w:rsidP="006C373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Identify, own and manage risks involved in running the contact centre appropriately to your role, in line with risk, governance 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compliance regulations. </w:t>
            </w:r>
          </w:p>
        </w:tc>
        <w:tc>
          <w:tcPr>
            <w:tcW w:w="4141" w:type="dxa"/>
          </w:tcPr>
          <w:p w14:paraId="33253219" w14:textId="77777777" w:rsidR="001C2B56" w:rsidRPr="001C2B56" w:rsidRDefault="001C2B56" w:rsidP="001C2B5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3F528E7" w14:textId="77777777" w:rsidR="002C41C8" w:rsidRDefault="00DF0140" w:rsidP="002C41C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and control </w:t>
            </w:r>
            <w:r w:rsidR="00A248A3">
              <w:rPr>
                <w:rFonts w:ascii="Arial" w:hAnsi="Arial" w:cs="Arial"/>
                <w:sz w:val="20"/>
                <w:szCs w:val="20"/>
              </w:rPr>
              <w:t>self-assessments</w:t>
            </w:r>
          </w:p>
          <w:p w14:paraId="525E8F7C" w14:textId="76F32151" w:rsidR="00884A4F" w:rsidRPr="00461259" w:rsidRDefault="002C41C8" w:rsidP="002C41C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05646B">
              <w:rPr>
                <w:rFonts w:ascii="Arial" w:hAnsi="Arial" w:cs="Arial"/>
                <w:sz w:val="20"/>
                <w:szCs w:val="20"/>
              </w:rPr>
              <w:t>External auditing metrics</w:t>
            </w:r>
            <w:r w:rsidR="00884A4F" w:rsidRPr="0046125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4CF5B0AE" w14:textId="5EC18D9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62F98A08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0887DB0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A70E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56B1093" w14:textId="77777777" w:rsidTr="00867C2E">
        <w:trPr>
          <w:trHeight w:val="4154"/>
        </w:trPr>
        <w:tc>
          <w:tcPr>
            <w:tcW w:w="10490" w:type="dxa"/>
          </w:tcPr>
          <w:p w14:paraId="000F29BF" w14:textId="77777777" w:rsidR="00181EFC" w:rsidRPr="00F92262" w:rsidRDefault="00181EFC" w:rsidP="00855B0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Refresh live forecasting to support decision making and allocation of resource to achieve the best performance results possible</w:t>
            </w:r>
            <w:r w:rsidR="00855B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7A87AE78" w14:textId="1D53CE14" w:rsidR="00F92262" w:rsidRPr="00855B0C" w:rsidRDefault="00F92262" w:rsidP="00855B0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support to the operation to drive productivity and increase adherence to plans</w:t>
            </w:r>
          </w:p>
          <w:p w14:paraId="305F972F" w14:textId="5755981C" w:rsidR="008D41D7" w:rsidRPr="008D41D7" w:rsidRDefault="00506752" w:rsidP="00855B0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Carry out p</w:t>
            </w:r>
            <w:r w:rsidR="008D41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active tactical changes to maintain or improve the scheduling plans at handover, identifying any risks or opportunities and communicating these to stakeholders</w:t>
            </w:r>
          </w:p>
          <w:p w14:paraId="54BBDEB0" w14:textId="3EC6E7D0" w:rsidR="008D41D7" w:rsidRPr="008D41D7" w:rsidRDefault="00FC4DBA" w:rsidP="00855B0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 to deliver</w:t>
            </w:r>
            <w:r w:rsidR="008D41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plans to ensure wait times are m</w:t>
            </w:r>
            <w:r w:rsidR="00F922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inimised  and adviser resource</w:t>
            </w:r>
            <w:r w:rsidR="008D41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is maximised, providing ongoing feedback to Resource Schedulers </w:t>
            </w:r>
          </w:p>
          <w:p w14:paraId="5E9ADA93" w14:textId="002BE7FA" w:rsidR="00506752" w:rsidRPr="00506752" w:rsidRDefault="00FC4DBA" w:rsidP="00855B0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Have shared responsibility</w:t>
            </w:r>
            <w:r w:rsidR="0050675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across Resource Schedulers to produce a single view of pre / post event analysis detailing the end to end story of the plan and key drivers behind performance </w:t>
            </w:r>
          </w:p>
          <w:p w14:paraId="50F86432" w14:textId="77777777" w:rsidR="00506752" w:rsidRPr="00506752" w:rsidRDefault="00506752" w:rsidP="00855B0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Maintain and improve knowledge of operating models</w:t>
            </w:r>
          </w:p>
          <w:p w14:paraId="1DC7D676" w14:textId="77777777" w:rsidR="00855B0C" w:rsidRPr="00F92262" w:rsidRDefault="00506752" w:rsidP="00855B0C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Carry out analysis of resourcing requirements vs operating plan to provide </w:t>
            </w:r>
            <w:r w:rsidR="003649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insight to allow decision making around overtime requirements within the weekly handover. </w:t>
            </w:r>
            <w:r w:rsidR="00855B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5B682548" w14:textId="0BB8E1B5" w:rsidR="00867C2E" w:rsidRPr="00867C2E" w:rsidRDefault="00F92262" w:rsidP="00867C2E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Utilise WFM ways of working providing evidence of self service options that deliver value add and improve the Member Journ</w:t>
            </w:r>
            <w:r w:rsidR="00867C2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ey</w:t>
            </w:r>
          </w:p>
        </w:tc>
      </w:tr>
    </w:tbl>
    <w:p w14:paraId="3767B3F1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281691C" w14:textId="77777777" w:rsidTr="002537E9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06EE48B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2609E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16BCDD" w14:textId="77777777" w:rsidTr="00867C2E">
        <w:trPr>
          <w:trHeight w:val="1038"/>
        </w:trPr>
        <w:tc>
          <w:tcPr>
            <w:tcW w:w="10490" w:type="dxa"/>
          </w:tcPr>
          <w:p w14:paraId="3309FC09" w14:textId="1D0DB289" w:rsidR="0052262D" w:rsidRPr="00461259" w:rsidRDefault="00803F6B" w:rsidP="004612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</w:tr>
    </w:tbl>
    <w:p w14:paraId="00582ABA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D2D61F1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516BDD2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F711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57169E0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F781E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43F585B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3A8AF0CB" w14:textId="77777777" w:rsidTr="00FF16B8">
        <w:trPr>
          <w:trHeight w:val="211"/>
        </w:trPr>
        <w:tc>
          <w:tcPr>
            <w:tcW w:w="6008" w:type="dxa"/>
          </w:tcPr>
          <w:p w14:paraId="61132DF2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7D67D1F" w14:textId="254E0CA2" w:rsidR="0056188D" w:rsidRPr="00B75089" w:rsidRDefault="00450A4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B75089" w14:paraId="043A6BB5" w14:textId="77777777" w:rsidTr="00FF16B8">
        <w:trPr>
          <w:trHeight w:val="211"/>
        </w:trPr>
        <w:tc>
          <w:tcPr>
            <w:tcW w:w="6008" w:type="dxa"/>
          </w:tcPr>
          <w:p w14:paraId="7F44701D" w14:textId="6EB73490" w:rsidR="00450A4D" w:rsidRPr="00B75089" w:rsidRDefault="00D8346C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 solving and idea generation</w:t>
            </w:r>
          </w:p>
        </w:tc>
        <w:tc>
          <w:tcPr>
            <w:tcW w:w="4482" w:type="dxa"/>
          </w:tcPr>
          <w:p w14:paraId="7F8DF69A" w14:textId="2A72FDE0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</w:rPr>
            </w:pPr>
            <w:r w:rsidRPr="002453DD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B75089" w14:paraId="44749ECC" w14:textId="77777777" w:rsidTr="00FF16B8">
        <w:trPr>
          <w:trHeight w:val="211"/>
        </w:trPr>
        <w:tc>
          <w:tcPr>
            <w:tcW w:w="6008" w:type="dxa"/>
          </w:tcPr>
          <w:p w14:paraId="5042B8AC" w14:textId="77777777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AB387FC" w14:textId="58D78B51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</w:rPr>
            </w:pPr>
            <w:r w:rsidRPr="002453DD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B75089" w14:paraId="1772C395" w14:textId="77777777" w:rsidTr="00FF16B8">
        <w:trPr>
          <w:trHeight w:val="211"/>
        </w:trPr>
        <w:tc>
          <w:tcPr>
            <w:tcW w:w="6008" w:type="dxa"/>
          </w:tcPr>
          <w:p w14:paraId="48FCC031" w14:textId="77777777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2365E79A" w14:textId="444B8391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</w:rPr>
            </w:pPr>
            <w:r w:rsidRPr="002453DD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B75089" w14:paraId="7916D624" w14:textId="77777777" w:rsidTr="00FF16B8">
        <w:trPr>
          <w:trHeight w:val="211"/>
        </w:trPr>
        <w:tc>
          <w:tcPr>
            <w:tcW w:w="6008" w:type="dxa"/>
          </w:tcPr>
          <w:p w14:paraId="28C5ED4B" w14:textId="77777777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C2D18A2" w14:textId="37247C0B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</w:rPr>
            </w:pPr>
            <w:r w:rsidRPr="002453DD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B75089" w14:paraId="02AA183E" w14:textId="77777777" w:rsidTr="00FF16B8">
        <w:trPr>
          <w:trHeight w:val="211"/>
        </w:trPr>
        <w:tc>
          <w:tcPr>
            <w:tcW w:w="6008" w:type="dxa"/>
          </w:tcPr>
          <w:p w14:paraId="7C22145E" w14:textId="77777777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42744C90" w14:textId="56E971FD" w:rsidR="00450A4D" w:rsidRPr="00B75089" w:rsidRDefault="00450A4D" w:rsidP="00450A4D">
            <w:pPr>
              <w:spacing w:after="0" w:line="240" w:lineRule="auto"/>
              <w:rPr>
                <w:rFonts w:ascii="Arial" w:hAnsi="Arial" w:cs="Arial"/>
              </w:rPr>
            </w:pPr>
            <w:r w:rsidRPr="002453DD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topFromText="100" w:bottomFromText="100" w:vertAnchor="text" w:horzAnchor="page" w:tblpX="946" w:tblpY="440"/>
        <w:tblW w:w="10740" w:type="dxa"/>
        <w:tblLook w:val="04A0" w:firstRow="1" w:lastRow="0" w:firstColumn="1" w:lastColumn="0" w:noHBand="0" w:noVBand="1"/>
      </w:tblPr>
      <w:tblGrid>
        <w:gridCol w:w="3114"/>
        <w:gridCol w:w="3969"/>
        <w:gridCol w:w="3657"/>
      </w:tblGrid>
      <w:tr w:rsidR="00C10DF0" w14:paraId="6F00A73B" w14:textId="77777777" w:rsidTr="00132A2C">
        <w:trPr>
          <w:trHeight w:val="2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9FC724" w14:textId="77777777" w:rsidR="00C10DF0" w:rsidRDefault="00C10DF0" w:rsidP="00132A2C">
            <w:pPr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A79BC0" w14:textId="77777777" w:rsidR="00C10DF0" w:rsidRDefault="00C10DF0" w:rsidP="00132A2C">
            <w:pPr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0EEF58" w14:textId="77777777" w:rsidR="00C10DF0" w:rsidRDefault="00C10DF0" w:rsidP="00132A2C">
            <w:pPr>
              <w:spacing w:beforeAutospacing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C10DF0" w:rsidRPr="006A0D9F" w14:paraId="7E6E906F" w14:textId="77777777" w:rsidTr="00132A2C">
        <w:trPr>
          <w:cantSplit/>
          <w:trHeight w:val="323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7F58" w14:textId="7FB1EA46" w:rsidR="00C10DF0" w:rsidRPr="006A0D9F" w:rsidRDefault="00555B4A" w:rsidP="00C10DF0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Educated to GCSE</w:t>
            </w:r>
            <w:r w:rsidR="00C10DF0" w:rsidRPr="006A0D9F">
              <w:rPr>
                <w:rFonts w:ascii="Arial" w:hAnsi="Arial" w:cs="Arial"/>
                <w:sz w:val="20"/>
                <w:szCs w:val="20"/>
              </w:rPr>
              <w:t xml:space="preserve"> level or equivalent experience</w:t>
            </w:r>
          </w:p>
          <w:p w14:paraId="2D9EBAF7" w14:textId="77777777" w:rsidR="00C10DF0" w:rsidRDefault="00C10DF0" w:rsidP="00C10DF0">
            <w:pPr>
              <w:pStyle w:val="ListParagraph"/>
              <w:numPr>
                <w:ilvl w:val="0"/>
                <w:numId w:val="5"/>
              </w:numPr>
              <w:spacing w:after="0"/>
              <w:ind w:left="311" w:hanging="311"/>
              <w:rPr>
                <w:rFonts w:ascii="Arial" w:eastAsia="Calibri" w:hAnsi="Arial" w:cs="Arial"/>
                <w:sz w:val="20"/>
                <w:szCs w:val="20"/>
              </w:rPr>
            </w:pPr>
            <w:r w:rsidRPr="00CE2A64">
              <w:rPr>
                <w:rFonts w:ascii="Arial" w:eastAsia="Calibri" w:hAnsi="Arial" w:cs="Arial"/>
                <w:sz w:val="20"/>
                <w:szCs w:val="20"/>
              </w:rPr>
              <w:t>MS Office (Word, PowerPoint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Advanced </w:t>
            </w:r>
            <w:r w:rsidRPr="00CE2A64">
              <w:rPr>
                <w:rFonts w:ascii="Arial" w:eastAsia="Calibri" w:hAnsi="Arial" w:cs="Arial"/>
                <w:sz w:val="20"/>
                <w:szCs w:val="20"/>
              </w:rPr>
              <w:t>Excel skills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3D77544C" w14:textId="77777777" w:rsidR="00C10DF0" w:rsidRDefault="00C10DF0" w:rsidP="00C10DF0">
            <w:pPr>
              <w:pStyle w:val="ListParagraph"/>
              <w:numPr>
                <w:ilvl w:val="0"/>
                <w:numId w:val="5"/>
              </w:numPr>
              <w:spacing w:after="0"/>
              <w:ind w:left="311" w:hanging="31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 knowledge of analytical techniques and methods</w:t>
            </w:r>
          </w:p>
          <w:p w14:paraId="25E9B4CA" w14:textId="77777777" w:rsidR="00C10DF0" w:rsidRDefault="00C10DF0" w:rsidP="00C10DF0">
            <w:pPr>
              <w:pStyle w:val="ListParagraph"/>
              <w:numPr>
                <w:ilvl w:val="0"/>
                <w:numId w:val="5"/>
              </w:numPr>
              <w:spacing w:after="0"/>
              <w:ind w:left="311" w:hanging="311"/>
              <w:rPr>
                <w:rFonts w:ascii="Arial" w:eastAsia="Calibri" w:hAnsi="Arial" w:cs="Arial"/>
                <w:sz w:val="20"/>
                <w:szCs w:val="20"/>
              </w:rPr>
            </w:pPr>
            <w:r w:rsidRPr="0027579B">
              <w:rPr>
                <w:rFonts w:ascii="Arial" w:eastAsia="Calibri" w:hAnsi="Arial" w:cs="Arial"/>
                <w:sz w:val="20"/>
                <w:szCs w:val="20"/>
              </w:rPr>
              <w:t xml:space="preserve">Significant application of a range of </w:t>
            </w:r>
            <w:r>
              <w:rPr>
                <w:rFonts w:ascii="Arial" w:eastAsia="Calibri" w:hAnsi="Arial" w:cs="Arial"/>
                <w:sz w:val="20"/>
                <w:szCs w:val="20"/>
              </w:rPr>
              <w:t>insight</w:t>
            </w:r>
            <w:r w:rsidRPr="0027579B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analysis </w:t>
            </w:r>
            <w:r w:rsidRPr="0027579B">
              <w:rPr>
                <w:rFonts w:ascii="Arial" w:eastAsia="Calibri" w:hAnsi="Arial" w:cs="Arial"/>
                <w:sz w:val="20"/>
                <w:szCs w:val="20"/>
              </w:rPr>
              <w:t>techniques to drive business improvement</w:t>
            </w:r>
          </w:p>
          <w:p w14:paraId="5B47E894" w14:textId="77777777" w:rsidR="00C10DF0" w:rsidRPr="0027579B" w:rsidRDefault="00C10DF0" w:rsidP="00FD61CF">
            <w:pPr>
              <w:pStyle w:val="ListParagraph"/>
              <w:spacing w:after="0"/>
              <w:ind w:left="3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B868" w14:textId="77777777" w:rsidR="009404D5" w:rsidRDefault="009404D5" w:rsidP="00132A2C">
            <w:pPr>
              <w:pStyle w:val="ListParagraph"/>
              <w:numPr>
                <w:ilvl w:val="0"/>
                <w:numId w:val="5"/>
              </w:numPr>
              <w:ind w:left="97" w:hanging="203"/>
              <w:rPr>
                <w:rFonts w:ascii="Arial" w:eastAsia="Calibri" w:hAnsi="Arial" w:cs="Arial"/>
                <w:sz w:val="20"/>
                <w:szCs w:val="20"/>
              </w:rPr>
            </w:pPr>
            <w:r w:rsidRPr="007C7FFB">
              <w:rPr>
                <w:rFonts w:ascii="Arial" w:eastAsia="Calibri" w:hAnsi="Arial" w:cs="Arial"/>
                <w:sz w:val="20"/>
                <w:szCs w:val="20"/>
              </w:rPr>
              <w:t>A positive attitude, with the ability to manage their time efficiently and effectively to ensure the successful delivery of assigned tasks in accordance with agreed time and quality standards</w:t>
            </w:r>
          </w:p>
          <w:p w14:paraId="0A3A4934" w14:textId="621662E4" w:rsidR="00FD61CF" w:rsidRDefault="00C10DF0" w:rsidP="00132A2C">
            <w:pPr>
              <w:pStyle w:val="ListParagraph"/>
              <w:numPr>
                <w:ilvl w:val="0"/>
                <w:numId w:val="5"/>
              </w:numPr>
              <w:ind w:left="97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Technically minded yet business focused</w:t>
            </w:r>
          </w:p>
          <w:p w14:paraId="1F26EC44" w14:textId="05F6DBA6" w:rsidR="00C10DF0" w:rsidRPr="00DF013B" w:rsidRDefault="00FD61CF" w:rsidP="00132A2C">
            <w:pPr>
              <w:pStyle w:val="ListParagraph"/>
              <w:numPr>
                <w:ilvl w:val="0"/>
                <w:numId w:val="5"/>
              </w:numPr>
              <w:ind w:left="97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communication skills with the ability to communicate across all levels.</w:t>
            </w:r>
            <w:r w:rsidR="00C10DF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08E9949" w14:textId="77777777" w:rsidR="00C10DF0" w:rsidRDefault="00C10DF0" w:rsidP="00132A2C">
            <w:pPr>
              <w:pStyle w:val="ListParagraph"/>
              <w:numPr>
                <w:ilvl w:val="0"/>
                <w:numId w:val="5"/>
              </w:numPr>
              <w:ind w:left="97" w:hanging="203"/>
              <w:rPr>
                <w:rFonts w:ascii="Arial" w:eastAsia="Calibri" w:hAnsi="Arial" w:cs="Arial"/>
                <w:sz w:val="20"/>
                <w:szCs w:val="20"/>
              </w:rPr>
            </w:pPr>
            <w:r w:rsidRPr="00DC0B51">
              <w:rPr>
                <w:rFonts w:ascii="Arial" w:eastAsia="Calibri" w:hAnsi="Arial" w:cs="Arial"/>
                <w:sz w:val="20"/>
                <w:szCs w:val="20"/>
              </w:rPr>
              <w:t>Willingness to learn new technologies and apply benefits from those technologies</w:t>
            </w:r>
          </w:p>
          <w:p w14:paraId="779ACA1E" w14:textId="524A8F34" w:rsidR="00C10DF0" w:rsidRPr="009404D5" w:rsidRDefault="00C10DF0" w:rsidP="009404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58A" w14:textId="77777777" w:rsidR="00C10DF0" w:rsidRDefault="00C10DF0" w:rsidP="00C10DF0">
            <w:pPr>
              <w:pStyle w:val="ListParagraph"/>
              <w:numPr>
                <w:ilvl w:val="0"/>
                <w:numId w:val="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 analytical and communication skills </w:t>
            </w:r>
          </w:p>
          <w:p w14:paraId="02B53C63" w14:textId="77777777" w:rsidR="00C10DF0" w:rsidRPr="0027579B" w:rsidRDefault="00C10DF0" w:rsidP="00C10DF0">
            <w:pPr>
              <w:pStyle w:val="ListParagraph"/>
              <w:numPr>
                <w:ilvl w:val="0"/>
                <w:numId w:val="5"/>
              </w:numPr>
              <w:spacing w:after="0"/>
              <w:ind w:left="171" w:hanging="171"/>
              <w:rPr>
                <w:rFonts w:ascii="Arial" w:eastAsia="Calibri" w:hAnsi="Arial" w:cs="Arial"/>
                <w:sz w:val="20"/>
                <w:szCs w:val="20"/>
              </w:rPr>
            </w:pPr>
            <w:r w:rsidRPr="0027579B">
              <w:rPr>
                <w:rFonts w:ascii="Arial" w:eastAsia="Calibri" w:hAnsi="Arial" w:cs="Arial"/>
                <w:sz w:val="20"/>
                <w:szCs w:val="20"/>
              </w:rPr>
              <w:t>Strong data and analytical focused background</w:t>
            </w:r>
          </w:p>
          <w:p w14:paraId="7DDA65FF" w14:textId="77777777" w:rsidR="00C10DF0" w:rsidRDefault="00C10DF0" w:rsidP="00C10DF0">
            <w:pPr>
              <w:pStyle w:val="ListParagraph"/>
              <w:numPr>
                <w:ilvl w:val="0"/>
                <w:numId w:val="5"/>
              </w:numPr>
              <w:spacing w:after="0"/>
              <w:ind w:left="171" w:hanging="17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Proven experience of capturing business requirements</w:t>
            </w:r>
          </w:p>
          <w:p w14:paraId="31870551" w14:textId="23E3BC36" w:rsidR="00803F6B" w:rsidRDefault="00803F6B" w:rsidP="00C10DF0">
            <w:pPr>
              <w:pStyle w:val="ListParagraph"/>
              <w:numPr>
                <w:ilvl w:val="0"/>
                <w:numId w:val="5"/>
              </w:numPr>
              <w:spacing w:after="0"/>
              <w:ind w:left="171" w:hanging="17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Proven experience using operating models to deliver service level agreements. </w:t>
            </w:r>
          </w:p>
          <w:p w14:paraId="3E87E525" w14:textId="77777777" w:rsidR="00C10DF0" w:rsidRPr="0027579B" w:rsidRDefault="00C10DF0" w:rsidP="00132A2C"/>
        </w:tc>
      </w:tr>
      <w:tr w:rsidR="00C10DF0" w:rsidRPr="006A0D9F" w14:paraId="6C27FCD9" w14:textId="77777777" w:rsidTr="00132A2C">
        <w:trPr>
          <w:cantSplit/>
          <w:trHeight w:val="9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3EA" w14:textId="03D411BE" w:rsidR="00C10DF0" w:rsidRDefault="00C10DF0" w:rsidP="00C10DF0">
            <w:pPr>
              <w:pStyle w:val="ListParagraph"/>
              <w:numPr>
                <w:ilvl w:val="0"/>
                <w:numId w:val="5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bookmarkStart w:id="1" w:name="_Hlk40457000"/>
            <w:r>
              <w:rPr>
                <w:rFonts w:ascii="Arial" w:hAnsi="Arial" w:cs="Arial"/>
                <w:sz w:val="20"/>
                <w:szCs w:val="20"/>
              </w:rPr>
              <w:t>Strong knowledge in DS&amp;S</w:t>
            </w:r>
            <w:r w:rsidRPr="006A0D9F">
              <w:rPr>
                <w:rFonts w:ascii="Arial" w:hAnsi="Arial" w:cs="Arial"/>
                <w:sz w:val="20"/>
                <w:szCs w:val="20"/>
              </w:rPr>
              <w:t xml:space="preserve"> processes and procedures</w:t>
            </w:r>
          </w:p>
          <w:bookmarkEnd w:id="1"/>
          <w:p w14:paraId="2DDF6FEF" w14:textId="79B95CDE" w:rsidR="00C10DF0" w:rsidRPr="006A0D9F" w:rsidRDefault="00C10DF0" w:rsidP="00732D0E">
            <w:pPr>
              <w:pStyle w:val="ListParagraph"/>
              <w:spacing w:after="0"/>
              <w:ind w:left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B43" w14:textId="77777777" w:rsidR="00C10DF0" w:rsidRPr="006A0D9F" w:rsidRDefault="00C10DF0" w:rsidP="00132A2C">
            <w:pPr>
              <w:pStyle w:val="ListParagraph"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891" w14:textId="77777777" w:rsidR="00C10DF0" w:rsidRPr="006A0D9F" w:rsidRDefault="00C10DF0" w:rsidP="00132A2C">
            <w:pPr>
              <w:ind w:right="-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2A506A" w14:textId="77777777" w:rsidR="00C10DF0" w:rsidRPr="00B75089" w:rsidRDefault="00C10DF0" w:rsidP="00B75089">
      <w:pPr>
        <w:spacing w:line="240" w:lineRule="auto"/>
        <w:rPr>
          <w:rFonts w:ascii="Arial" w:hAnsi="Arial" w:cs="Arial"/>
        </w:rPr>
      </w:pPr>
    </w:p>
    <w:sectPr w:rsidR="00C10DF0" w:rsidRPr="00B7508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5EF7E" w14:textId="77777777" w:rsidR="004204C1" w:rsidRDefault="004204C1" w:rsidP="009E22D0">
      <w:pPr>
        <w:spacing w:after="0" w:line="240" w:lineRule="auto"/>
      </w:pPr>
      <w:r>
        <w:separator/>
      </w:r>
    </w:p>
  </w:endnote>
  <w:endnote w:type="continuationSeparator" w:id="0">
    <w:p w14:paraId="78201307" w14:textId="77777777" w:rsidR="004204C1" w:rsidRDefault="004204C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B17A1" w14:textId="77777777" w:rsidR="004204C1" w:rsidRDefault="004204C1" w:rsidP="009E22D0">
      <w:pPr>
        <w:spacing w:after="0" w:line="240" w:lineRule="auto"/>
      </w:pPr>
      <w:r>
        <w:separator/>
      </w:r>
    </w:p>
  </w:footnote>
  <w:footnote w:type="continuationSeparator" w:id="0">
    <w:p w14:paraId="51FC2C1B" w14:textId="77777777" w:rsidR="004204C1" w:rsidRDefault="004204C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0ABD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BF4A8EF" wp14:editId="2401C09A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3B9"/>
    <w:multiLevelType w:val="hybridMultilevel"/>
    <w:tmpl w:val="7596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A216B"/>
    <w:multiLevelType w:val="hybridMultilevel"/>
    <w:tmpl w:val="8242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8015A"/>
    <w:multiLevelType w:val="hybridMultilevel"/>
    <w:tmpl w:val="22E2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353EC"/>
    <w:multiLevelType w:val="hybridMultilevel"/>
    <w:tmpl w:val="5896E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EB2982"/>
    <w:multiLevelType w:val="hybridMultilevel"/>
    <w:tmpl w:val="3CB2EE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7C76908"/>
    <w:multiLevelType w:val="hybridMultilevel"/>
    <w:tmpl w:val="2C36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0127E"/>
    <w:multiLevelType w:val="hybridMultilevel"/>
    <w:tmpl w:val="3794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D28E8"/>
    <w:multiLevelType w:val="singleLevel"/>
    <w:tmpl w:val="95A688B2"/>
    <w:lvl w:ilvl="0">
      <w:start w:val="1"/>
      <w:numFmt w:val="bullet"/>
      <w:pStyle w:val="SingleBullet"/>
      <w:lvlText w:val=""/>
      <w:lvlJc w:val="left"/>
      <w:pPr>
        <w:tabs>
          <w:tab w:val="num" w:pos="360"/>
        </w:tabs>
        <w:ind w:left="360" w:hanging="360"/>
      </w:pPr>
      <w:rPr>
        <w:rFonts w:ascii="Typographic Ext" w:hAnsi="Typographic Ext" w:hint="default"/>
      </w:rPr>
    </w:lvl>
  </w:abstractNum>
  <w:abstractNum w:abstractNumId="1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652700"/>
    <w:multiLevelType w:val="hybridMultilevel"/>
    <w:tmpl w:val="7858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31F9E"/>
    <w:multiLevelType w:val="hybridMultilevel"/>
    <w:tmpl w:val="C7326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D341A"/>
    <w:multiLevelType w:val="hybridMultilevel"/>
    <w:tmpl w:val="BFC69994"/>
    <w:lvl w:ilvl="0" w:tplc="6FA4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2112A"/>
    <w:multiLevelType w:val="hybridMultilevel"/>
    <w:tmpl w:val="CD30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B5ABA"/>
    <w:multiLevelType w:val="hybridMultilevel"/>
    <w:tmpl w:val="C57C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E2896"/>
    <w:multiLevelType w:val="hybridMultilevel"/>
    <w:tmpl w:val="89ECC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B687B"/>
    <w:multiLevelType w:val="hybridMultilevel"/>
    <w:tmpl w:val="6200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C4A17"/>
    <w:multiLevelType w:val="hybridMultilevel"/>
    <w:tmpl w:val="1888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95643"/>
    <w:multiLevelType w:val="hybridMultilevel"/>
    <w:tmpl w:val="098238C6"/>
    <w:lvl w:ilvl="0" w:tplc="CB889D14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color w:val="000000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611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0B06823"/>
    <w:multiLevelType w:val="hybridMultilevel"/>
    <w:tmpl w:val="9D86B4EC"/>
    <w:lvl w:ilvl="0" w:tplc="6242D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25ECF"/>
    <w:multiLevelType w:val="hybridMultilevel"/>
    <w:tmpl w:val="EFD2D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E330D"/>
    <w:multiLevelType w:val="hybridMultilevel"/>
    <w:tmpl w:val="0AF4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77C6A"/>
    <w:multiLevelType w:val="hybridMultilevel"/>
    <w:tmpl w:val="9142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681D63"/>
    <w:multiLevelType w:val="hybridMultilevel"/>
    <w:tmpl w:val="17CE91D4"/>
    <w:lvl w:ilvl="0" w:tplc="1C900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AA1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63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E8D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C5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6A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06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06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66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12"/>
  </w:num>
  <w:num w:numId="5">
    <w:abstractNumId w:val="16"/>
  </w:num>
  <w:num w:numId="6">
    <w:abstractNumId w:val="8"/>
  </w:num>
  <w:num w:numId="7">
    <w:abstractNumId w:val="19"/>
  </w:num>
  <w:num w:numId="8">
    <w:abstractNumId w:val="29"/>
  </w:num>
  <w:num w:numId="9">
    <w:abstractNumId w:val="32"/>
  </w:num>
  <w:num w:numId="10">
    <w:abstractNumId w:val="23"/>
  </w:num>
  <w:num w:numId="11">
    <w:abstractNumId w:val="10"/>
  </w:num>
  <w:num w:numId="12">
    <w:abstractNumId w:val="24"/>
  </w:num>
  <w:num w:numId="13">
    <w:abstractNumId w:val="20"/>
  </w:num>
  <w:num w:numId="14">
    <w:abstractNumId w:val="21"/>
  </w:num>
  <w:num w:numId="15">
    <w:abstractNumId w:val="18"/>
  </w:num>
  <w:num w:numId="16">
    <w:abstractNumId w:val="7"/>
  </w:num>
  <w:num w:numId="17">
    <w:abstractNumId w:val="11"/>
  </w:num>
  <w:num w:numId="18">
    <w:abstractNumId w:val="25"/>
  </w:num>
  <w:num w:numId="19">
    <w:abstractNumId w:val="15"/>
  </w:num>
  <w:num w:numId="20">
    <w:abstractNumId w:val="28"/>
  </w:num>
  <w:num w:numId="21">
    <w:abstractNumId w:val="36"/>
  </w:num>
  <w:num w:numId="22">
    <w:abstractNumId w:val="34"/>
  </w:num>
  <w:num w:numId="23">
    <w:abstractNumId w:val="33"/>
  </w:num>
  <w:num w:numId="24">
    <w:abstractNumId w:val="37"/>
  </w:num>
  <w:num w:numId="25">
    <w:abstractNumId w:val="26"/>
  </w:num>
  <w:num w:numId="26">
    <w:abstractNumId w:val="9"/>
  </w:num>
  <w:num w:numId="27">
    <w:abstractNumId w:val="30"/>
  </w:num>
  <w:num w:numId="28">
    <w:abstractNumId w:val="0"/>
  </w:num>
  <w:num w:numId="29">
    <w:abstractNumId w:val="2"/>
  </w:num>
  <w:num w:numId="30">
    <w:abstractNumId w:val="1"/>
  </w:num>
  <w:num w:numId="31">
    <w:abstractNumId w:val="38"/>
  </w:num>
  <w:num w:numId="32">
    <w:abstractNumId w:val="27"/>
  </w:num>
  <w:num w:numId="33">
    <w:abstractNumId w:val="3"/>
  </w:num>
  <w:num w:numId="34">
    <w:abstractNumId w:val="6"/>
  </w:num>
  <w:num w:numId="35">
    <w:abstractNumId w:val="31"/>
  </w:num>
  <w:num w:numId="36">
    <w:abstractNumId w:val="13"/>
  </w:num>
  <w:num w:numId="37">
    <w:abstractNumId w:val="22"/>
  </w:num>
  <w:num w:numId="38">
    <w:abstractNumId w:val="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0"/>
    <w:rsid w:val="00023700"/>
    <w:rsid w:val="00036BF5"/>
    <w:rsid w:val="00042C90"/>
    <w:rsid w:val="00082F60"/>
    <w:rsid w:val="00083C3E"/>
    <w:rsid w:val="00093FF3"/>
    <w:rsid w:val="00097190"/>
    <w:rsid w:val="000C403D"/>
    <w:rsid w:val="000E4361"/>
    <w:rsid w:val="00135CE2"/>
    <w:rsid w:val="00136959"/>
    <w:rsid w:val="001659BE"/>
    <w:rsid w:val="00175D7E"/>
    <w:rsid w:val="00181EFC"/>
    <w:rsid w:val="001C2B56"/>
    <w:rsid w:val="001C67E1"/>
    <w:rsid w:val="001E587A"/>
    <w:rsid w:val="0020276C"/>
    <w:rsid w:val="00211B2F"/>
    <w:rsid w:val="002537E9"/>
    <w:rsid w:val="00287606"/>
    <w:rsid w:val="002A213B"/>
    <w:rsid w:val="002B557F"/>
    <w:rsid w:val="002C41C8"/>
    <w:rsid w:val="002C48F7"/>
    <w:rsid w:val="002D60C7"/>
    <w:rsid w:val="002D7ABB"/>
    <w:rsid w:val="00310533"/>
    <w:rsid w:val="00322F37"/>
    <w:rsid w:val="003609E9"/>
    <w:rsid w:val="00364941"/>
    <w:rsid w:val="003759D9"/>
    <w:rsid w:val="0039251C"/>
    <w:rsid w:val="003D227D"/>
    <w:rsid w:val="003E1D15"/>
    <w:rsid w:val="003E3186"/>
    <w:rsid w:val="00400906"/>
    <w:rsid w:val="004204C1"/>
    <w:rsid w:val="004307C5"/>
    <w:rsid w:val="00450A4D"/>
    <w:rsid w:val="00461259"/>
    <w:rsid w:val="0047641C"/>
    <w:rsid w:val="004A5236"/>
    <w:rsid w:val="004A6776"/>
    <w:rsid w:val="004C412C"/>
    <w:rsid w:val="004D18E8"/>
    <w:rsid w:val="004D264C"/>
    <w:rsid w:val="005066FF"/>
    <w:rsid w:val="00506752"/>
    <w:rsid w:val="0052262D"/>
    <w:rsid w:val="0053344D"/>
    <w:rsid w:val="005542D1"/>
    <w:rsid w:val="00555B4A"/>
    <w:rsid w:val="0056188D"/>
    <w:rsid w:val="005B685E"/>
    <w:rsid w:val="006219B1"/>
    <w:rsid w:val="00644BB2"/>
    <w:rsid w:val="00650ECA"/>
    <w:rsid w:val="00666EB3"/>
    <w:rsid w:val="00680F90"/>
    <w:rsid w:val="0069193F"/>
    <w:rsid w:val="006C373C"/>
    <w:rsid w:val="006E682E"/>
    <w:rsid w:val="00711E46"/>
    <w:rsid w:val="00717094"/>
    <w:rsid w:val="00722099"/>
    <w:rsid w:val="00725787"/>
    <w:rsid w:val="00732D0E"/>
    <w:rsid w:val="007439A9"/>
    <w:rsid w:val="00764564"/>
    <w:rsid w:val="0077307D"/>
    <w:rsid w:val="00786F9D"/>
    <w:rsid w:val="00796E90"/>
    <w:rsid w:val="007B53E7"/>
    <w:rsid w:val="007E0D08"/>
    <w:rsid w:val="007E7CA1"/>
    <w:rsid w:val="007F2B97"/>
    <w:rsid w:val="0080088D"/>
    <w:rsid w:val="00803F6B"/>
    <w:rsid w:val="00810CB8"/>
    <w:rsid w:val="00813AEB"/>
    <w:rsid w:val="008427BA"/>
    <w:rsid w:val="00844936"/>
    <w:rsid w:val="008514A4"/>
    <w:rsid w:val="008514FB"/>
    <w:rsid w:val="00855B0C"/>
    <w:rsid w:val="00867C2E"/>
    <w:rsid w:val="00884A4F"/>
    <w:rsid w:val="008C25DB"/>
    <w:rsid w:val="008D41D7"/>
    <w:rsid w:val="008F6E75"/>
    <w:rsid w:val="009404D5"/>
    <w:rsid w:val="009B43C5"/>
    <w:rsid w:val="009C6EB4"/>
    <w:rsid w:val="009D6FCA"/>
    <w:rsid w:val="009E0198"/>
    <w:rsid w:val="009E22D0"/>
    <w:rsid w:val="009F032A"/>
    <w:rsid w:val="00A02DDD"/>
    <w:rsid w:val="00A041C9"/>
    <w:rsid w:val="00A248A3"/>
    <w:rsid w:val="00A30712"/>
    <w:rsid w:val="00A41C34"/>
    <w:rsid w:val="00A4414A"/>
    <w:rsid w:val="00A52CE5"/>
    <w:rsid w:val="00A656BF"/>
    <w:rsid w:val="00A80586"/>
    <w:rsid w:val="00AD34A1"/>
    <w:rsid w:val="00AF1614"/>
    <w:rsid w:val="00AF7D2A"/>
    <w:rsid w:val="00B06084"/>
    <w:rsid w:val="00B21E23"/>
    <w:rsid w:val="00B7196E"/>
    <w:rsid w:val="00B75089"/>
    <w:rsid w:val="00B92627"/>
    <w:rsid w:val="00B9331C"/>
    <w:rsid w:val="00BA1949"/>
    <w:rsid w:val="00BB679D"/>
    <w:rsid w:val="00BC6B69"/>
    <w:rsid w:val="00BD1612"/>
    <w:rsid w:val="00C10DF0"/>
    <w:rsid w:val="00C4234C"/>
    <w:rsid w:val="00C91CFA"/>
    <w:rsid w:val="00C936F8"/>
    <w:rsid w:val="00CA1BFF"/>
    <w:rsid w:val="00CB56BD"/>
    <w:rsid w:val="00CD65AF"/>
    <w:rsid w:val="00CE53BD"/>
    <w:rsid w:val="00D043F3"/>
    <w:rsid w:val="00D8346C"/>
    <w:rsid w:val="00DC593B"/>
    <w:rsid w:val="00DE5E9F"/>
    <w:rsid w:val="00DF0140"/>
    <w:rsid w:val="00E16E3D"/>
    <w:rsid w:val="00E24E76"/>
    <w:rsid w:val="00E31268"/>
    <w:rsid w:val="00E40AC5"/>
    <w:rsid w:val="00E94D05"/>
    <w:rsid w:val="00F16F09"/>
    <w:rsid w:val="00F30B77"/>
    <w:rsid w:val="00F516B3"/>
    <w:rsid w:val="00F5319A"/>
    <w:rsid w:val="00F7695F"/>
    <w:rsid w:val="00F92262"/>
    <w:rsid w:val="00FB4711"/>
    <w:rsid w:val="00FC4DBA"/>
    <w:rsid w:val="00FD0362"/>
    <w:rsid w:val="00FD61CF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A132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43F3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450A4D"/>
    <w:rPr>
      <w:rFonts w:ascii="Calibri" w:hAnsi="Calibri"/>
      <w:sz w:val="22"/>
      <w:szCs w:val="22"/>
    </w:rPr>
  </w:style>
  <w:style w:type="paragraph" w:customStyle="1" w:styleId="SingleBullet">
    <w:name w:val="Single Bullet"/>
    <w:basedOn w:val="Normal"/>
    <w:next w:val="Normal"/>
    <w:rsid w:val="003E1D15"/>
    <w:pPr>
      <w:numPr>
        <w:numId w:val="26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80" w:lineRule="exact"/>
    </w:pPr>
    <w:rPr>
      <w:rFonts w:ascii="Zurich BT" w:hAnsi="Zurich BT"/>
    </w:rPr>
  </w:style>
  <w:style w:type="paragraph" w:customStyle="1" w:styleId="bullet">
    <w:name w:val="bullet"/>
    <w:basedOn w:val="Normal"/>
    <w:rsid w:val="003E1D15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61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FD0362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D0362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43F3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450A4D"/>
    <w:rPr>
      <w:rFonts w:ascii="Calibri" w:hAnsi="Calibri"/>
      <w:sz w:val="22"/>
      <w:szCs w:val="22"/>
    </w:rPr>
  </w:style>
  <w:style w:type="paragraph" w:customStyle="1" w:styleId="SingleBullet">
    <w:name w:val="Single Bullet"/>
    <w:basedOn w:val="Normal"/>
    <w:next w:val="Normal"/>
    <w:rsid w:val="003E1D15"/>
    <w:pPr>
      <w:numPr>
        <w:numId w:val="26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80" w:lineRule="exact"/>
    </w:pPr>
    <w:rPr>
      <w:rFonts w:ascii="Zurich BT" w:hAnsi="Zurich BT"/>
    </w:rPr>
  </w:style>
  <w:style w:type="paragraph" w:customStyle="1" w:styleId="bullet">
    <w:name w:val="bullet"/>
    <w:basedOn w:val="Normal"/>
    <w:rsid w:val="003E1D15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61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FD0362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D036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8C3C227B-7401-4DF6-9FFC-10F0552E13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623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Warren, Michael</cp:lastModifiedBy>
  <cp:revision>31</cp:revision>
  <dcterms:created xsi:type="dcterms:W3CDTF">2020-06-04T13:33:00Z</dcterms:created>
  <dcterms:modified xsi:type="dcterms:W3CDTF">2020-06-24T18:11:00Z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68d79847-7f5e-4aa2-a63b-0326f889709d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