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260"/>
        <w:gridCol w:w="2127"/>
        <w:gridCol w:w="2976"/>
      </w:tblGrid>
      <w:tr w:rsidR="009B4E4E" w:rsidRPr="00B75089" w:rsidTr="00624EEC">
        <w:trPr>
          <w:trHeight w:val="447"/>
        </w:trPr>
        <w:tc>
          <w:tcPr>
            <w:tcW w:w="2127" w:type="dxa"/>
            <w:shd w:val="clear" w:color="auto" w:fill="D9D9D9" w:themeFill="background1" w:themeFillShade="D9"/>
          </w:tcPr>
          <w:p w:rsidR="009B4E4E" w:rsidRPr="00B75089" w:rsidRDefault="009B4E4E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260" w:type="dxa"/>
          </w:tcPr>
          <w:p w:rsidR="009B4E4E" w:rsidRPr="00B75089" w:rsidRDefault="009B4E4E" w:rsidP="001817F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1817FC">
              <w:rPr>
                <w:rFonts w:ascii="Arial" w:hAnsi="Arial" w:cs="Arial"/>
                <w:sz w:val="20"/>
                <w:szCs w:val="20"/>
              </w:rPr>
              <w:t>Underwriting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9B4E4E" w:rsidRPr="00B75089" w:rsidRDefault="009B4E4E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</w:tcPr>
          <w:p w:rsidR="009B4E4E" w:rsidRPr="0073133A" w:rsidRDefault="009B4E4E" w:rsidP="001817F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Director – </w:t>
            </w:r>
            <w:r w:rsidR="001817FC"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</w:tr>
      <w:tr w:rsidR="009B4E4E" w:rsidRPr="00B75089" w:rsidTr="00624EEC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:rsidR="009B4E4E" w:rsidRPr="00B75089" w:rsidRDefault="009B4E4E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260" w:type="dxa"/>
          </w:tcPr>
          <w:p w:rsidR="009B4E4E" w:rsidRPr="00B75089" w:rsidRDefault="001817F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9B4E4E" w:rsidRPr="00B75089" w:rsidRDefault="009B4E4E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76" w:type="dxa"/>
          </w:tcPr>
          <w:p w:rsidR="009B4E4E" w:rsidRPr="00B75089" w:rsidRDefault="001817F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Underwriting</w:t>
            </w:r>
          </w:p>
        </w:tc>
      </w:tr>
      <w:tr w:rsidR="00947D6B" w:rsidRPr="00B75089" w:rsidTr="00624EEC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260" w:type="dxa"/>
            <w:vMerge w:val="restart"/>
          </w:tcPr>
          <w:p w:rsidR="00947D6B" w:rsidRDefault="001817FC" w:rsidP="00AB74F6">
            <w:pPr>
              <w:pStyle w:val="Header"/>
              <w:numPr>
                <w:ilvl w:val="0"/>
                <w:numId w:val="3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Direct</w:t>
            </w:r>
          </w:p>
          <w:p w:rsidR="00024838" w:rsidRDefault="00A1066F" w:rsidP="001817FC">
            <w:pPr>
              <w:pStyle w:val="Header"/>
              <w:numPr>
                <w:ilvl w:val="0"/>
                <w:numId w:val="3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17FC">
              <w:rPr>
                <w:rFonts w:ascii="Arial" w:hAnsi="Arial" w:cs="Arial"/>
                <w:sz w:val="20"/>
                <w:szCs w:val="20"/>
              </w:rPr>
              <w:t>U</w:t>
            </w:r>
            <w:r w:rsidR="00AD5DDA">
              <w:rPr>
                <w:rFonts w:ascii="Arial" w:hAnsi="Arial" w:cs="Arial"/>
                <w:sz w:val="20"/>
                <w:szCs w:val="20"/>
              </w:rPr>
              <w:t>nderwriting</w:t>
            </w:r>
            <w:r w:rsidRPr="001817FC">
              <w:rPr>
                <w:rFonts w:ascii="Arial" w:hAnsi="Arial" w:cs="Arial"/>
                <w:sz w:val="20"/>
                <w:szCs w:val="20"/>
              </w:rPr>
              <w:t xml:space="preserve"> Policy Lead (UK </w:t>
            </w:r>
            <w:r w:rsidR="00AD5DDA">
              <w:rPr>
                <w:rFonts w:ascii="Arial" w:hAnsi="Arial" w:cs="Arial"/>
                <w:sz w:val="20"/>
                <w:szCs w:val="20"/>
              </w:rPr>
              <w:t xml:space="preserve">&amp; Ireland </w:t>
            </w:r>
            <w:r w:rsidRPr="001817FC">
              <w:rPr>
                <w:rFonts w:ascii="Arial" w:hAnsi="Arial" w:cs="Arial"/>
                <w:sz w:val="20"/>
                <w:szCs w:val="20"/>
              </w:rPr>
              <w:t>Med</w:t>
            </w:r>
            <w:r w:rsidR="00AD5DDA">
              <w:rPr>
                <w:rFonts w:ascii="Arial" w:hAnsi="Arial" w:cs="Arial"/>
                <w:sz w:val="20"/>
                <w:szCs w:val="20"/>
              </w:rPr>
              <w:t>ical</w:t>
            </w:r>
            <w:r w:rsidRPr="001817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17FC" w:rsidRDefault="001817FC" w:rsidP="001817FC">
            <w:pPr>
              <w:pStyle w:val="Header"/>
              <w:numPr>
                <w:ilvl w:val="0"/>
                <w:numId w:val="3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17FC">
              <w:rPr>
                <w:rFonts w:ascii="Arial" w:hAnsi="Arial" w:cs="Arial"/>
                <w:sz w:val="20"/>
                <w:szCs w:val="20"/>
              </w:rPr>
              <w:t>U</w:t>
            </w:r>
            <w:r w:rsidR="00AD5DDA">
              <w:rPr>
                <w:rFonts w:ascii="Arial" w:hAnsi="Arial" w:cs="Arial"/>
                <w:sz w:val="20"/>
                <w:szCs w:val="20"/>
              </w:rPr>
              <w:t>nderwriting</w:t>
            </w:r>
            <w:r w:rsidRPr="001817FC">
              <w:rPr>
                <w:rFonts w:ascii="Arial" w:hAnsi="Arial" w:cs="Arial"/>
                <w:sz w:val="20"/>
                <w:szCs w:val="20"/>
              </w:rPr>
              <w:t xml:space="preserve"> Policy Lead (</w:t>
            </w:r>
            <w:r w:rsidR="00AD268F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1817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17FC" w:rsidRPr="001817FC" w:rsidRDefault="001817FC" w:rsidP="001817FC">
            <w:pPr>
              <w:pStyle w:val="Header"/>
              <w:numPr>
                <w:ilvl w:val="0"/>
                <w:numId w:val="3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17FC">
              <w:rPr>
                <w:rFonts w:ascii="Arial" w:hAnsi="Arial" w:cs="Arial"/>
                <w:sz w:val="20"/>
                <w:szCs w:val="20"/>
              </w:rPr>
              <w:t>U</w:t>
            </w:r>
            <w:r w:rsidR="00AD5DDA">
              <w:rPr>
                <w:rFonts w:ascii="Arial" w:hAnsi="Arial" w:cs="Arial"/>
                <w:sz w:val="20"/>
                <w:szCs w:val="20"/>
              </w:rPr>
              <w:t>nderwriting</w:t>
            </w:r>
            <w:r w:rsidRPr="001817FC">
              <w:rPr>
                <w:rFonts w:ascii="Arial" w:hAnsi="Arial" w:cs="Arial"/>
                <w:sz w:val="20"/>
                <w:szCs w:val="20"/>
              </w:rPr>
              <w:t xml:space="preserve"> Policy Lead (</w:t>
            </w:r>
            <w:r>
              <w:rPr>
                <w:rFonts w:ascii="Arial" w:hAnsi="Arial" w:cs="Arial"/>
                <w:sz w:val="20"/>
                <w:szCs w:val="20"/>
              </w:rPr>
              <w:t>Den</w:t>
            </w:r>
            <w:r w:rsidRPr="001817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17FC" w:rsidRDefault="001817FC" w:rsidP="001817FC">
            <w:pPr>
              <w:pStyle w:val="Header"/>
              <w:numPr>
                <w:ilvl w:val="0"/>
                <w:numId w:val="3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Underwriting Risk Managers x 3</w:t>
            </w:r>
          </w:p>
          <w:p w:rsidR="00AD5DDA" w:rsidRPr="001817FC" w:rsidRDefault="00AD5DDA" w:rsidP="001817FC">
            <w:pPr>
              <w:pStyle w:val="Header"/>
              <w:numPr>
                <w:ilvl w:val="0"/>
                <w:numId w:val="3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Underwriting Operations Manager</w:t>
            </w:r>
          </w:p>
          <w:p w:rsidR="001817FC" w:rsidRPr="00B75089" w:rsidRDefault="001817FC" w:rsidP="001817FC">
            <w:pPr>
              <w:pStyle w:val="Header"/>
              <w:spacing w:after="0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</w:tcPr>
          <w:p w:rsidR="00947D6B" w:rsidRPr="00B75089" w:rsidRDefault="001817FC" w:rsidP="00624EEC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Operational leadership –for Underwriting - </w:t>
            </w:r>
            <w:r w:rsidR="00947D6B">
              <w:rPr>
                <w:rFonts w:ascii="Arial" w:hAnsi="Arial" w:cs="Arial"/>
                <w:sz w:val="20"/>
                <w:szCs w:val="20"/>
              </w:rPr>
              <w:t>Uk and International, discretionary and insurance.</w:t>
            </w:r>
            <w:r w:rsidR="00947D6B" w:rsidRPr="00B75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7D6B" w:rsidRPr="00B75089" w:rsidTr="00624EEC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Circa </w:t>
            </w:r>
            <w:r w:rsidR="001817FC">
              <w:rPr>
                <w:rFonts w:ascii="Arial" w:hAnsi="Arial" w:cs="Arial"/>
                <w:sz w:val="20"/>
                <w:szCs w:val="20"/>
              </w:rPr>
              <w:t>18 people</w:t>
            </w:r>
          </w:p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D6B" w:rsidRPr="00B75089" w:rsidTr="00624EEC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2976" w:type="dxa"/>
          </w:tcPr>
          <w:p w:rsidR="00947D6B" w:rsidRPr="00B75089" w:rsidRDefault="001817FC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 via MPS UW</w:t>
            </w:r>
          </w:p>
        </w:tc>
      </w:tr>
      <w:tr w:rsidR="00947D6B" w:rsidRPr="00B75089" w:rsidTr="00624EEC">
        <w:trPr>
          <w:trHeight w:val="195"/>
        </w:trPr>
        <w:tc>
          <w:tcPr>
            <w:tcW w:w="2127" w:type="dxa"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260" w:type="dxa"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</w:tcPr>
          <w:p w:rsidR="00947D6B" w:rsidRPr="00B75089" w:rsidRDefault="00947D6B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366B02">
              <w:rPr>
                <w:rFonts w:ascii="Arial" w:hAnsi="Arial" w:cs="Arial"/>
                <w:color w:val="000000" w:themeColor="text1"/>
                <w:sz w:val="20"/>
                <w:szCs w:val="20"/>
              </w:rPr>
              <w:t>echnical</w:t>
            </w:r>
            <w:bookmarkStart w:id="0" w:name="_GoBack"/>
            <w:bookmarkEnd w:id="0"/>
          </w:p>
        </w:tc>
      </w:tr>
    </w:tbl>
    <w:p w:rsidR="00F5319A" w:rsidRPr="00624EEC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:rsidTr="00624EEC">
        <w:trPr>
          <w:trHeight w:val="259"/>
        </w:trPr>
        <w:tc>
          <w:tcPr>
            <w:tcW w:w="10509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B4E4E" w:rsidRPr="00B75089" w:rsidTr="00624EEC">
        <w:trPr>
          <w:trHeight w:val="1329"/>
        </w:trPr>
        <w:tc>
          <w:tcPr>
            <w:tcW w:w="10509" w:type="dxa"/>
          </w:tcPr>
          <w:p w:rsidR="009B4E4E" w:rsidRPr="003257BD" w:rsidRDefault="009B4E4E" w:rsidP="001817FC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817FC">
              <w:rPr>
                <w:rFonts w:ascii="Arial" w:hAnsi="Arial" w:cs="Arial"/>
                <w:sz w:val="20"/>
                <w:szCs w:val="20"/>
              </w:rPr>
              <w:t>Commercial Services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Division is</w:t>
            </w:r>
            <w:r w:rsidR="001817FC">
              <w:rPr>
                <w:rFonts w:ascii="Arial" w:hAnsi="Arial" w:cs="Arial"/>
                <w:sz w:val="20"/>
                <w:szCs w:val="20"/>
              </w:rPr>
              <w:t xml:space="preserve"> at the forefront of managing the financial risk of MPS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worldwide. The purpose of the role is to provide </w:t>
            </w:r>
            <w:r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="001817FC">
              <w:rPr>
                <w:rFonts w:ascii="Arial" w:hAnsi="Arial" w:cs="Arial"/>
                <w:sz w:val="20"/>
                <w:szCs w:val="20"/>
              </w:rPr>
              <w:t>Underwriting</w:t>
            </w:r>
            <w:r w:rsidR="00624E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for members which is </w:t>
            </w:r>
            <w:r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>
              <w:rPr>
                <w:rFonts w:ascii="Arial" w:hAnsi="Arial" w:cs="Arial"/>
                <w:sz w:val="20"/>
                <w:szCs w:val="20"/>
              </w:rPr>
              <w:t>and provides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>
              <w:rPr>
                <w:rFonts w:ascii="Arial" w:hAnsi="Arial" w:cs="Arial"/>
                <w:sz w:val="20"/>
                <w:szCs w:val="20"/>
              </w:rPr>
              <w:t>tment and outcomes. This will be achieved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 by optimising the capabilities of the </w:t>
            </w:r>
            <w:r w:rsidR="001817FC">
              <w:rPr>
                <w:rFonts w:ascii="Arial" w:hAnsi="Arial" w:cs="Arial"/>
                <w:sz w:val="20"/>
                <w:szCs w:val="20"/>
              </w:rPr>
              <w:t>Underwriting Policy and Operations teams</w:t>
            </w:r>
            <w:r w:rsidRPr="003257BD">
              <w:rPr>
                <w:rFonts w:ascii="Arial" w:hAnsi="Arial" w:cs="Arial"/>
                <w:sz w:val="20"/>
                <w:szCs w:val="20"/>
              </w:rPr>
              <w:t xml:space="preserve"> ensuring an efficient and effective </w:t>
            </w:r>
            <w:r w:rsidRPr="00276B46">
              <w:rPr>
                <w:rFonts w:ascii="Arial" w:hAnsi="Arial" w:cs="Arial"/>
                <w:sz w:val="20"/>
                <w:szCs w:val="20"/>
              </w:rPr>
              <w:t>expert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operation</w:t>
            </w:r>
            <w:r w:rsidR="001817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E22D0" w:rsidRPr="004F1F28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:rsidTr="00116121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:rsidR="009E22D0" w:rsidRPr="00B75089" w:rsidRDefault="009E22D0" w:rsidP="004F1F2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:rsidTr="00116121">
        <w:trPr>
          <w:trHeight w:val="578"/>
        </w:trPr>
        <w:tc>
          <w:tcPr>
            <w:tcW w:w="7196" w:type="dxa"/>
          </w:tcPr>
          <w:p w:rsidR="0056188D" w:rsidRPr="00B75089" w:rsidRDefault="006B43C7" w:rsidP="004F1F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Leadership </w:t>
            </w:r>
          </w:p>
          <w:p w:rsidR="009B4E4E" w:rsidRPr="008F6B29" w:rsidRDefault="009B4E4E" w:rsidP="004F1F28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284" w:hanging="284"/>
              <w:rPr>
                <w:rFonts w:ascii="Arial" w:hAnsi="Arial" w:cs="Arial"/>
              </w:rPr>
            </w:pPr>
            <w:r w:rsidRPr="00B1705A">
              <w:rPr>
                <w:rFonts w:ascii="Arial" w:hAnsi="Arial" w:cs="Arial"/>
                <w:sz w:val="20"/>
                <w:szCs w:val="20"/>
              </w:rPr>
              <w:t xml:space="preserve">Provide leadership across </w:t>
            </w:r>
            <w:r w:rsidR="00EA595D">
              <w:rPr>
                <w:rFonts w:ascii="Arial" w:hAnsi="Arial" w:cs="Arial"/>
                <w:sz w:val="20"/>
                <w:szCs w:val="20"/>
              </w:rPr>
              <w:t>Commercial Services</w:t>
            </w:r>
            <w:r w:rsidR="004F1F28">
              <w:rPr>
                <w:rFonts w:ascii="Arial" w:hAnsi="Arial" w:cs="Arial"/>
                <w:sz w:val="20"/>
                <w:szCs w:val="20"/>
              </w:rPr>
              <w:t xml:space="preserve"> and in particular </w:t>
            </w:r>
            <w:r w:rsidR="00EA595D">
              <w:rPr>
                <w:rFonts w:ascii="Arial" w:hAnsi="Arial" w:cs="Arial"/>
                <w:sz w:val="20"/>
                <w:szCs w:val="20"/>
              </w:rPr>
              <w:t>Underwriting</w:t>
            </w:r>
            <w:r w:rsidR="006E6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05A">
              <w:rPr>
                <w:rFonts w:ascii="Arial" w:hAnsi="Arial" w:cs="Arial"/>
                <w:sz w:val="20"/>
                <w:szCs w:val="20"/>
              </w:rPr>
              <w:t>to deliver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overall corporate strategy, </w:t>
            </w:r>
            <w:r w:rsidRPr="00B1705A">
              <w:rPr>
                <w:rFonts w:ascii="Arial" w:hAnsi="Arial" w:cs="Arial"/>
                <w:sz w:val="20"/>
                <w:szCs w:val="20"/>
              </w:rPr>
              <w:t>strategic priorities, business performance, and leadership of teams that reinforces the desired culture</w:t>
            </w:r>
            <w:r w:rsidR="006E6C60">
              <w:rPr>
                <w:rFonts w:ascii="Arial" w:hAnsi="Arial" w:cs="Arial"/>
                <w:sz w:val="20"/>
                <w:szCs w:val="20"/>
              </w:rPr>
              <w:t xml:space="preserve"> and delivery of the strategic priorities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4E4E" w:rsidRPr="00A948EE" w:rsidRDefault="009B4E4E" w:rsidP="009B4E4E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the development </w:t>
            </w:r>
            <w:r w:rsidRPr="00593866">
              <w:rPr>
                <w:rFonts w:ascii="Arial" w:hAnsi="Arial" w:cs="Arial"/>
                <w:sz w:val="20"/>
                <w:szCs w:val="20"/>
              </w:rPr>
              <w:t xml:space="preserve">and delivery of </w:t>
            </w:r>
            <w:r w:rsidR="00EA595D">
              <w:rPr>
                <w:rFonts w:ascii="Arial" w:hAnsi="Arial" w:cs="Arial"/>
                <w:sz w:val="20"/>
                <w:szCs w:val="20"/>
              </w:rPr>
              <w:t>Commercial Services</w:t>
            </w:r>
            <w:r w:rsidRPr="00593866">
              <w:rPr>
                <w:rFonts w:ascii="Arial" w:hAnsi="Arial" w:cs="Arial"/>
                <w:sz w:val="20"/>
                <w:szCs w:val="20"/>
              </w:rPr>
              <w:t xml:space="preserve"> strategy and plan to time, cost and quality</w:t>
            </w:r>
          </w:p>
          <w:p w:rsidR="00B3369C" w:rsidRDefault="006E6C60" w:rsidP="006E6C60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="009B4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95D">
              <w:rPr>
                <w:rFonts w:ascii="Arial" w:hAnsi="Arial" w:cs="Arial"/>
                <w:sz w:val="20"/>
                <w:szCs w:val="20"/>
              </w:rPr>
              <w:t>Underwriting</w:t>
            </w:r>
            <w:r w:rsidR="009B4E4E">
              <w:rPr>
                <w:rFonts w:ascii="Arial" w:hAnsi="Arial" w:cs="Arial"/>
                <w:sz w:val="20"/>
                <w:szCs w:val="20"/>
              </w:rPr>
              <w:t xml:space="preserve"> to drive service standards and deliver on the required KPI’s</w:t>
            </w:r>
            <w:r w:rsidR="004F1F28">
              <w:rPr>
                <w:rFonts w:ascii="Arial" w:hAnsi="Arial" w:cs="Arial"/>
                <w:sz w:val="20"/>
                <w:szCs w:val="20"/>
              </w:rPr>
              <w:t xml:space="preserve"> and financial targets</w:t>
            </w:r>
            <w:r w:rsidR="009B4E4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E6C60" w:rsidRDefault="00B3369C" w:rsidP="00A1066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with Policy Leads to </w:t>
            </w:r>
            <w:r w:rsidR="00730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66F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A1066F" w:rsidRPr="00A1066F">
              <w:rPr>
                <w:rFonts w:ascii="Arial" w:hAnsi="Arial" w:cs="Arial"/>
                <w:sz w:val="20"/>
                <w:szCs w:val="20"/>
              </w:rPr>
              <w:t>underwriting philosophy, strategy, risk appetite, technical wordings, and drive improvement opportunities in the likes of wordings, processes, pricing or strategy.</w:t>
            </w:r>
          </w:p>
          <w:p w:rsidR="009B4E4E" w:rsidRPr="009769EC" w:rsidRDefault="009769EC" w:rsidP="00EA595D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0C7">
              <w:rPr>
                <w:rFonts w:ascii="Arial" w:hAnsi="Arial" w:cs="Arial"/>
                <w:sz w:val="20"/>
                <w:szCs w:val="20"/>
              </w:rPr>
              <w:t xml:space="preserve">For activities supporting </w:t>
            </w:r>
            <w:r w:rsidR="00EA595D">
              <w:rPr>
                <w:rFonts w:ascii="Arial" w:hAnsi="Arial" w:cs="Arial"/>
                <w:sz w:val="20"/>
                <w:szCs w:val="20"/>
              </w:rPr>
              <w:t>Underwriting</w:t>
            </w:r>
            <w:r w:rsidRPr="00FB10C7">
              <w:rPr>
                <w:rFonts w:ascii="Arial" w:hAnsi="Arial" w:cs="Arial"/>
                <w:sz w:val="20"/>
                <w:szCs w:val="20"/>
              </w:rPr>
              <w:t xml:space="preserve"> for Insurance, lead the team to comply with the required processes, SLA’s and where applicable, regulatory standards.</w:t>
            </w:r>
          </w:p>
        </w:tc>
        <w:tc>
          <w:tcPr>
            <w:tcW w:w="3291" w:type="dxa"/>
          </w:tcPr>
          <w:p w:rsidR="00BF42B0" w:rsidRPr="001C7649" w:rsidRDefault="00BF42B0" w:rsidP="004F1F28">
            <w:pPr>
              <w:pStyle w:val="ListParagraph"/>
              <w:numPr>
                <w:ilvl w:val="0"/>
                <w:numId w:val="6"/>
              </w:numPr>
              <w:spacing w:after="0" w:afterAutospacing="0"/>
              <w:ind w:left="175" w:hanging="14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Financial sustainability Vs plan</w:t>
            </w:r>
          </w:p>
          <w:p w:rsidR="00BF42B0" w:rsidRPr="001C7649" w:rsidRDefault="00BF42B0" w:rsidP="004F1F28">
            <w:pPr>
              <w:pStyle w:val="ListParagraph"/>
              <w:numPr>
                <w:ilvl w:val="0"/>
                <w:numId w:val="6"/>
              </w:numPr>
              <w:spacing w:after="0" w:afterAutospacing="0"/>
              <w:ind w:left="175" w:hanging="14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Financial performance Vs plan</w:t>
            </w:r>
          </w:p>
          <w:p w:rsidR="00BF42B0" w:rsidRDefault="00BF42B0" w:rsidP="004F1F28">
            <w:pPr>
              <w:pStyle w:val="ListParagraph"/>
              <w:numPr>
                <w:ilvl w:val="0"/>
                <w:numId w:val="6"/>
              </w:numPr>
              <w:spacing w:after="0" w:afterAutospacing="0"/>
              <w:ind w:left="175" w:hanging="14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Pr="001C7649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:rsidR="00BF42B0" w:rsidRDefault="00BF42B0" w:rsidP="004F1F28">
            <w:pPr>
              <w:pStyle w:val="ListParagraph"/>
              <w:numPr>
                <w:ilvl w:val="0"/>
                <w:numId w:val="6"/>
              </w:numPr>
              <w:spacing w:after="0" w:afterAutospacing="0"/>
              <w:ind w:left="175" w:hanging="14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priorities Vs plan</w:t>
            </w:r>
          </w:p>
          <w:p w:rsidR="00BF42B0" w:rsidRPr="001C7649" w:rsidRDefault="00BF42B0" w:rsidP="004F1F28">
            <w:pPr>
              <w:pStyle w:val="ListParagraph"/>
              <w:numPr>
                <w:ilvl w:val="0"/>
                <w:numId w:val="6"/>
              </w:numPr>
              <w:spacing w:after="0" w:afterAutospacing="0"/>
              <w:ind w:left="175" w:hanging="14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Plan</w:t>
            </w:r>
            <w:r w:rsidR="004F1F28">
              <w:rPr>
                <w:rFonts w:ascii="Arial" w:hAnsi="Arial" w:cs="Arial"/>
                <w:sz w:val="20"/>
                <w:szCs w:val="20"/>
              </w:rPr>
              <w:t xml:space="preserve"> delivery</w:t>
            </w:r>
            <w:r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:rsidR="00BF42B0" w:rsidRPr="001C7649" w:rsidRDefault="00BF42B0" w:rsidP="004F1F28">
            <w:pPr>
              <w:pStyle w:val="ListParagraph"/>
              <w:numPr>
                <w:ilvl w:val="0"/>
                <w:numId w:val="6"/>
              </w:numPr>
              <w:spacing w:after="0" w:afterAutospacing="0"/>
              <w:ind w:left="175" w:hanging="14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MP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1C7649">
              <w:rPr>
                <w:rFonts w:ascii="Arial" w:hAnsi="Arial" w:cs="Arial"/>
                <w:sz w:val="20"/>
                <w:szCs w:val="20"/>
              </w:rPr>
              <w:t>S engagement index Vs plan</w:t>
            </w:r>
          </w:p>
          <w:p w:rsidR="009E22D0" w:rsidRDefault="00BF42B0" w:rsidP="004F1F2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MP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1C7649">
              <w:rPr>
                <w:rFonts w:ascii="Arial" w:hAnsi="Arial" w:cs="Arial"/>
                <w:sz w:val="20"/>
                <w:szCs w:val="20"/>
              </w:rPr>
              <w:t>S leadership index Vs plan</w:t>
            </w:r>
          </w:p>
          <w:p w:rsidR="00845CB1" w:rsidRPr="00B75089" w:rsidRDefault="00845CB1" w:rsidP="004F1F2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 Feedback</w:t>
            </w:r>
          </w:p>
        </w:tc>
      </w:tr>
      <w:tr w:rsidR="009E22D0" w:rsidRPr="00B75089" w:rsidTr="00116121">
        <w:trPr>
          <w:trHeight w:val="578"/>
        </w:trPr>
        <w:tc>
          <w:tcPr>
            <w:tcW w:w="7196" w:type="dxa"/>
          </w:tcPr>
          <w:p w:rsidR="009E22D0" w:rsidRDefault="009E22D0" w:rsidP="004F1F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:rsidR="004F1F28" w:rsidRDefault="004F1F28" w:rsidP="004F1F28">
            <w:pPr>
              <w:pStyle w:val="ListParagraph"/>
              <w:numPr>
                <w:ilvl w:val="0"/>
                <w:numId w:val="2"/>
              </w:numPr>
              <w:spacing w:before="0" w:beforeAutospacing="0" w:afterAutospacing="0"/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 and deliver the </w:t>
            </w:r>
            <w:r w:rsidR="000F29E8">
              <w:rPr>
                <w:rFonts w:ascii="Arial" w:hAnsi="Arial" w:cs="Arial"/>
                <w:sz w:val="20"/>
                <w:szCs w:val="20"/>
              </w:rPr>
              <w:t>Underwriting</w:t>
            </w:r>
            <w:r>
              <w:rPr>
                <w:rFonts w:ascii="Arial" w:hAnsi="Arial" w:cs="Arial"/>
                <w:sz w:val="20"/>
                <w:szCs w:val="20"/>
              </w:rPr>
              <w:t xml:space="preserve"> operational budgets, ensuring an efficient and effective operating model which minimises cost and maximises financial sustainability without compromising the member experience. </w:t>
            </w:r>
          </w:p>
          <w:p w:rsidR="00FB10C7" w:rsidRDefault="000F29E8" w:rsidP="00FB10C7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the Underwriting Operations Manager, b</w:t>
            </w:r>
            <w:r w:rsidR="00FB10C7">
              <w:rPr>
                <w:rFonts w:ascii="Arial" w:hAnsi="Arial" w:cs="Arial"/>
                <w:sz w:val="20"/>
                <w:szCs w:val="20"/>
              </w:rPr>
              <w:t>uild and maintain resource models to ensure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productivity of all resources </w:t>
            </w:r>
            <w:r w:rsidR="00FB10C7">
              <w:rPr>
                <w:rFonts w:ascii="Arial" w:hAnsi="Arial" w:cs="Arial"/>
                <w:sz w:val="20"/>
                <w:szCs w:val="20"/>
              </w:rPr>
              <w:t>are optimised and service KPI’s delivered.</w:t>
            </w:r>
          </w:p>
          <w:p w:rsidR="009E22D0" w:rsidRDefault="00FB10C7" w:rsidP="000F29E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with the centralised BI/MI team to define and produce </w:t>
            </w:r>
            <w:r w:rsidRPr="00F35A13">
              <w:rPr>
                <w:rFonts w:ascii="Arial" w:hAnsi="Arial" w:cs="Arial"/>
                <w:sz w:val="20"/>
                <w:szCs w:val="20"/>
              </w:rPr>
              <w:t>operational metrics</w:t>
            </w:r>
            <w:r w:rsidR="00116121">
              <w:rPr>
                <w:rFonts w:ascii="Arial" w:hAnsi="Arial" w:cs="Arial"/>
                <w:sz w:val="20"/>
                <w:szCs w:val="20"/>
              </w:rPr>
              <w:t xml:space="preserve"> and insight</w:t>
            </w:r>
            <w:r w:rsidRPr="00F35A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which supports the delivery of</w:t>
            </w:r>
            <w:r w:rsidRPr="00F35A13">
              <w:rPr>
                <w:rFonts w:ascii="Arial" w:hAnsi="Arial" w:cs="Arial"/>
                <w:sz w:val="20"/>
                <w:szCs w:val="20"/>
              </w:rPr>
              <w:t xml:space="preserve"> an effective and efficient </w:t>
            </w:r>
            <w:r w:rsidR="000F29E8">
              <w:rPr>
                <w:rFonts w:ascii="Arial" w:hAnsi="Arial" w:cs="Arial"/>
                <w:sz w:val="20"/>
                <w:szCs w:val="20"/>
              </w:rPr>
              <w:t>underwriting operation.</w:t>
            </w:r>
          </w:p>
          <w:p w:rsidR="00456D79" w:rsidRPr="00A74163" w:rsidRDefault="00456D79" w:rsidP="000F29E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appropriate underwriting input to pricing for enhancements or discounts via system or off-system initiatives</w:t>
            </w:r>
          </w:p>
        </w:tc>
        <w:tc>
          <w:tcPr>
            <w:tcW w:w="3291" w:type="dxa"/>
          </w:tcPr>
          <w:p w:rsidR="00BF42B0" w:rsidRDefault="00BF42B0" w:rsidP="00BF42B0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:rsidR="008F6B29" w:rsidRDefault="00BF42B0" w:rsidP="008F6B29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Productivity measures Vs Plan</w:t>
            </w:r>
          </w:p>
          <w:p w:rsidR="008F6B29" w:rsidRPr="00B75089" w:rsidRDefault="008F6B29" w:rsidP="00456D79">
            <w:pPr>
              <w:pStyle w:val="ListParagraph"/>
              <w:spacing w:before="0" w:beforeAutospacing="0" w:after="0" w:afterAutospacing="0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116121">
        <w:trPr>
          <w:trHeight w:val="578"/>
        </w:trPr>
        <w:tc>
          <w:tcPr>
            <w:tcW w:w="7196" w:type="dxa"/>
          </w:tcPr>
          <w:p w:rsidR="009E22D0" w:rsidRDefault="009E22D0" w:rsidP="00A741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8F6B29" w:rsidRDefault="00BF42B0" w:rsidP="008F6B29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F8D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Pr="00F35A13">
              <w:rPr>
                <w:rFonts w:ascii="Arial" w:hAnsi="Arial" w:cs="Arial"/>
                <w:sz w:val="20"/>
                <w:szCs w:val="20"/>
              </w:rPr>
              <w:t xml:space="preserve">the management of </w:t>
            </w:r>
            <w:r w:rsidR="00456D79">
              <w:rPr>
                <w:rFonts w:ascii="Arial" w:hAnsi="Arial" w:cs="Arial"/>
                <w:sz w:val="20"/>
                <w:szCs w:val="20"/>
              </w:rPr>
              <w:t>Underwriting</w:t>
            </w:r>
            <w:r w:rsidRPr="00F35A13">
              <w:rPr>
                <w:rFonts w:ascii="Arial" w:hAnsi="Arial" w:cs="Arial"/>
                <w:sz w:val="20"/>
                <w:szCs w:val="20"/>
              </w:rPr>
              <w:t xml:space="preserve"> to ensure fair treatment and outcomes for members and compliance with associated policies and standards set out by Council, its committees and delegated authorities.</w:t>
            </w:r>
          </w:p>
          <w:p w:rsidR="00BF42B0" w:rsidRDefault="00BF42B0" w:rsidP="00BF42B0">
            <w:pPr>
              <w:pStyle w:val="CommentText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 w:rsidRPr="00200F33">
              <w:rPr>
                <w:rFonts w:ascii="Arial" w:hAnsi="Arial" w:cs="Arial"/>
              </w:rPr>
              <w:lastRenderedPageBreak/>
              <w:t>Establish a culture and capability in Lean / continuous improvement</w:t>
            </w:r>
            <w:r w:rsidRPr="00200F33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:rsidR="00F71034" w:rsidRPr="00B3369C" w:rsidRDefault="00F71034" w:rsidP="00BF42B0">
            <w:pPr>
              <w:pStyle w:val="CommentText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Manage the </w:t>
            </w:r>
            <w:r w:rsidR="00456D79">
              <w:rPr>
                <w:rFonts w:ascii="Arial" w:hAnsi="Arial" w:cs="Arial"/>
              </w:rPr>
              <w:t>Underwriting</w:t>
            </w:r>
            <w:r>
              <w:rPr>
                <w:rFonts w:ascii="Arial" w:hAnsi="Arial" w:cs="Arial"/>
              </w:rPr>
              <w:t xml:space="preserve"> teams to ensure they are integrated across MPS and can apply their expertise to enhance member outcomes</w:t>
            </w:r>
          </w:p>
          <w:p w:rsidR="00B3369C" w:rsidRPr="00200F33" w:rsidRDefault="00B3369C" w:rsidP="00BF42B0">
            <w:pPr>
              <w:pStyle w:val="CommentText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Maintain excellent relationship with Member Operations</w:t>
            </w:r>
          </w:p>
          <w:p w:rsidR="00BF42B0" w:rsidRPr="00F71034" w:rsidRDefault="00BF42B0" w:rsidP="00456D79">
            <w:pPr>
              <w:pStyle w:val="CommentText"/>
              <w:spacing w:before="0" w:beforeAutospacing="0" w:after="0" w:afterAutospacing="0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:rsidR="00BF42B0" w:rsidRDefault="00BF42B0" w:rsidP="00631771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:rsidR="00BF42B0" w:rsidRDefault="00BF42B0" w:rsidP="00631771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:rsidR="00BF42B0" w:rsidRDefault="00BF42B0" w:rsidP="00631771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:rsidR="00BF42B0" w:rsidRPr="00FD6286" w:rsidRDefault="00BF42B0" w:rsidP="00631771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:rsidR="009E22D0" w:rsidRPr="00B75089" w:rsidRDefault="009E22D0" w:rsidP="005E63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116121">
        <w:trPr>
          <w:trHeight w:val="591"/>
        </w:trPr>
        <w:tc>
          <w:tcPr>
            <w:tcW w:w="7196" w:type="dxa"/>
          </w:tcPr>
          <w:p w:rsidR="009E22D0" w:rsidRDefault="009E22D0" w:rsidP="00F710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:rsidR="00BF42B0" w:rsidRDefault="00BF42B0" w:rsidP="00F71034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F33">
              <w:rPr>
                <w:rFonts w:ascii="Arial" w:hAnsi="Arial" w:cs="Arial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281B">
              <w:rPr>
                <w:rFonts w:ascii="Arial" w:hAnsi="Arial" w:cs="Arial"/>
                <w:sz w:val="20"/>
                <w:szCs w:val="20"/>
              </w:rPr>
              <w:t xml:space="preserve">strong leadership </w:t>
            </w:r>
            <w:r w:rsidRPr="00200F33">
              <w:rPr>
                <w:rFonts w:ascii="Arial" w:hAnsi="Arial" w:cs="Arial"/>
                <w:sz w:val="20"/>
                <w:szCs w:val="20"/>
              </w:rPr>
              <w:t xml:space="preserve">to ensure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resourcing, </w:t>
            </w:r>
            <w:r w:rsidRPr="00200F33">
              <w:rPr>
                <w:rFonts w:ascii="Arial" w:hAnsi="Arial" w:cs="Arial"/>
                <w:sz w:val="20"/>
                <w:szCs w:val="20"/>
              </w:rPr>
              <w:t>training, competence, performance and engagement of all employees 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034">
              <w:rPr>
                <w:rFonts w:ascii="Arial" w:hAnsi="Arial" w:cs="Arial"/>
                <w:sz w:val="20"/>
                <w:szCs w:val="20"/>
              </w:rPr>
              <w:t>the department</w:t>
            </w:r>
            <w:r w:rsidR="00EE4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0F33">
              <w:rPr>
                <w:rFonts w:ascii="Arial" w:hAnsi="Arial" w:cs="Arial"/>
                <w:sz w:val="20"/>
                <w:szCs w:val="20"/>
              </w:rPr>
              <w:t>ensuring they have clarity on their accountabilities and comply with all governance, policy standards and processes.</w:t>
            </w:r>
          </w:p>
          <w:p w:rsidR="00FB10C7" w:rsidRDefault="00BF42B0" w:rsidP="00FB10C7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Build a strong pipeline of talent and succession across </w:t>
            </w:r>
            <w:r w:rsidR="00456D79">
              <w:rPr>
                <w:rFonts w:ascii="Arial" w:hAnsi="Arial" w:cs="Arial"/>
                <w:sz w:val="20"/>
                <w:szCs w:val="20"/>
              </w:rPr>
              <w:t>Underwriting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for the benefit of MPS which will mitigate workforce planning risks and maximises the performance and potential of employees.</w:t>
            </w:r>
          </w:p>
          <w:p w:rsidR="00F16A63" w:rsidRDefault="00456D79" w:rsidP="00F16A63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D79">
              <w:rPr>
                <w:rFonts w:ascii="Arial" w:hAnsi="Arial" w:cs="Arial"/>
                <w:sz w:val="20"/>
                <w:szCs w:val="20"/>
              </w:rPr>
              <w:t>Set levels of delegated underwritin</w:t>
            </w:r>
            <w:r w:rsidR="00730D43">
              <w:rPr>
                <w:rFonts w:ascii="Arial" w:hAnsi="Arial" w:cs="Arial"/>
                <w:sz w:val="20"/>
                <w:szCs w:val="20"/>
              </w:rPr>
              <w:t>g authority within MPS and work</w:t>
            </w:r>
            <w:r w:rsidRPr="00456D79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>
              <w:rPr>
                <w:rFonts w:ascii="Arial" w:hAnsi="Arial" w:cs="Arial"/>
                <w:sz w:val="20"/>
                <w:szCs w:val="20"/>
              </w:rPr>
              <w:t>Underwriting Operations Manager</w:t>
            </w:r>
            <w:r w:rsidRPr="00456D79">
              <w:rPr>
                <w:rFonts w:ascii="Arial" w:hAnsi="Arial" w:cs="Arial"/>
                <w:sz w:val="20"/>
                <w:szCs w:val="20"/>
              </w:rPr>
              <w:t xml:space="preserve"> to monitor compliance t</w:t>
            </w:r>
            <w:r w:rsidR="00F16A63">
              <w:rPr>
                <w:rFonts w:ascii="Arial" w:hAnsi="Arial" w:cs="Arial"/>
                <w:sz w:val="20"/>
                <w:szCs w:val="20"/>
              </w:rPr>
              <w:t>o the delegated authority matrix</w:t>
            </w:r>
          </w:p>
          <w:p w:rsidR="006A12B9" w:rsidRPr="00F16A63" w:rsidRDefault="006A12B9" w:rsidP="006A12B9">
            <w:pPr>
              <w:pStyle w:val="ListParagraph"/>
              <w:spacing w:beforeAutospacing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42B0" w:rsidRPr="00BF42B0" w:rsidRDefault="00BF42B0" w:rsidP="00456D79">
            <w:pPr>
              <w:pStyle w:val="ListParagraph"/>
              <w:spacing w:beforeAutospacing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:rsidR="00BF42B0" w:rsidRPr="0073133A" w:rsidRDefault="00BF42B0" w:rsidP="00631771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:rsidR="00BF42B0" w:rsidRPr="0073133A" w:rsidRDefault="00BF42B0" w:rsidP="00631771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:rsidR="00BF42B0" w:rsidRPr="0073133A" w:rsidRDefault="00BF42B0" w:rsidP="00631771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:rsidR="00BF42B0" w:rsidRDefault="00BF42B0" w:rsidP="00631771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:rsidR="005E633A" w:rsidRDefault="00BF42B0" w:rsidP="0063177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:rsidR="00116121" w:rsidRPr="00B75089" w:rsidRDefault="00116121" w:rsidP="00730D43">
            <w:pPr>
              <w:pStyle w:val="ListParagraph"/>
              <w:tabs>
                <w:tab w:val="left" w:pos="3145"/>
              </w:tabs>
              <w:spacing w:after="0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:rsidTr="00116121">
        <w:trPr>
          <w:trHeight w:val="591"/>
        </w:trPr>
        <w:tc>
          <w:tcPr>
            <w:tcW w:w="7196" w:type="dxa"/>
          </w:tcPr>
          <w:p w:rsidR="009E22D0" w:rsidRPr="00B75089" w:rsidRDefault="009E22D0" w:rsidP="001161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:rsidR="00BF42B0" w:rsidRPr="00200F33" w:rsidRDefault="00BF42B0" w:rsidP="00BF42B0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F33">
              <w:rPr>
                <w:rFonts w:ascii="Arial" w:hAnsi="Arial" w:cs="Arial"/>
                <w:sz w:val="20"/>
                <w:szCs w:val="20"/>
              </w:rPr>
              <w:t xml:space="preserve">Create an environment where </w:t>
            </w:r>
            <w:r w:rsidR="00116121">
              <w:rPr>
                <w:rFonts w:ascii="Arial" w:hAnsi="Arial" w:cs="Arial"/>
                <w:sz w:val="20"/>
                <w:szCs w:val="20"/>
              </w:rPr>
              <w:t xml:space="preserve">colleagues </w:t>
            </w:r>
            <w:r w:rsidRPr="00200F33">
              <w:rPr>
                <w:rFonts w:ascii="Arial" w:hAnsi="Arial" w:cs="Arial"/>
                <w:sz w:val="20"/>
                <w:szCs w:val="20"/>
              </w:rPr>
              <w:t xml:space="preserve">recognise the importance of risk identification and management </w:t>
            </w:r>
          </w:p>
          <w:p w:rsidR="00BF42B0" w:rsidRPr="00200F33" w:rsidRDefault="00BF42B0" w:rsidP="00BF42B0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F33">
              <w:rPr>
                <w:rFonts w:ascii="Arial" w:hAnsi="Arial" w:cs="Arial"/>
                <w:sz w:val="20"/>
                <w:szCs w:val="20"/>
              </w:rPr>
              <w:t xml:space="preserve">Ensure appropriate business processes and controls are in place to manage the </w:t>
            </w:r>
            <w:r w:rsidRPr="00E33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A63">
              <w:rPr>
                <w:rFonts w:ascii="Arial" w:hAnsi="Arial" w:cs="Arial"/>
                <w:sz w:val="20"/>
                <w:szCs w:val="20"/>
              </w:rPr>
              <w:t>Underwriting</w:t>
            </w:r>
            <w:r w:rsidR="00116121">
              <w:rPr>
                <w:rFonts w:ascii="Arial" w:hAnsi="Arial" w:cs="Arial"/>
                <w:sz w:val="20"/>
                <w:szCs w:val="20"/>
              </w:rPr>
              <w:t xml:space="preserve"> department </w:t>
            </w:r>
            <w:r w:rsidRPr="00200F33">
              <w:rPr>
                <w:rFonts w:ascii="Arial" w:hAnsi="Arial" w:cs="Arial"/>
                <w:sz w:val="20"/>
                <w:szCs w:val="20"/>
              </w:rPr>
              <w:t>within risk appetite; comply with policies and regulatory requirements (as applicable)</w:t>
            </w:r>
          </w:p>
          <w:p w:rsidR="009E22D0" w:rsidRPr="00B75089" w:rsidRDefault="00BF42B0" w:rsidP="0011612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F33">
              <w:rPr>
                <w:rFonts w:ascii="Arial" w:hAnsi="Arial" w:cs="Arial"/>
                <w:sz w:val="20"/>
                <w:szCs w:val="20"/>
              </w:rPr>
              <w:t xml:space="preserve">Oversee systems for monitoring and reporting accurate and timely </w:t>
            </w:r>
            <w:r w:rsidRPr="00E33F8D">
              <w:rPr>
                <w:rFonts w:ascii="Arial" w:hAnsi="Arial" w:cs="Arial"/>
                <w:sz w:val="20"/>
                <w:szCs w:val="20"/>
              </w:rPr>
              <w:t xml:space="preserve">Medico / Dento </w:t>
            </w:r>
            <w:r>
              <w:rPr>
                <w:rFonts w:ascii="Arial" w:hAnsi="Arial" w:cs="Arial"/>
                <w:sz w:val="20"/>
                <w:szCs w:val="20"/>
              </w:rPr>
              <w:t>Legal</w:t>
            </w:r>
            <w:r w:rsidRPr="00200F33">
              <w:rPr>
                <w:rFonts w:ascii="Arial" w:hAnsi="Arial" w:cs="Arial"/>
                <w:sz w:val="20"/>
                <w:szCs w:val="20"/>
              </w:rPr>
              <w:t xml:space="preserve"> services statistics</w:t>
            </w:r>
            <w:r w:rsidR="00EE4B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6B29">
              <w:rPr>
                <w:rFonts w:ascii="Arial" w:hAnsi="Arial" w:cs="Arial"/>
                <w:sz w:val="20"/>
                <w:szCs w:val="20"/>
              </w:rPr>
              <w:t>complaints data</w:t>
            </w:r>
            <w:r w:rsidRPr="00200F33">
              <w:rPr>
                <w:rFonts w:ascii="Arial" w:hAnsi="Arial" w:cs="Arial"/>
                <w:sz w:val="20"/>
                <w:szCs w:val="20"/>
              </w:rPr>
              <w:t xml:space="preserve"> providing insight for governance bodies such as reserving, underwriting and reinsurance.</w:t>
            </w:r>
          </w:p>
        </w:tc>
        <w:tc>
          <w:tcPr>
            <w:tcW w:w="3291" w:type="dxa"/>
          </w:tcPr>
          <w:p w:rsidR="005E633A" w:rsidRPr="005E633A" w:rsidRDefault="009E22D0" w:rsidP="00631771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:rsidR="009E22D0" w:rsidRPr="005E633A" w:rsidRDefault="009E22D0" w:rsidP="00631771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:rsidR="005E633A" w:rsidRPr="00B75089" w:rsidRDefault="005E633A" w:rsidP="00631771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QA Outcomes</w:t>
            </w:r>
          </w:p>
        </w:tc>
      </w:tr>
    </w:tbl>
    <w:p w:rsidR="00FB4711" w:rsidRPr="00116121" w:rsidRDefault="00FB471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:rsidTr="00116121">
        <w:trPr>
          <w:trHeight w:val="247"/>
        </w:trPr>
        <w:tc>
          <w:tcPr>
            <w:tcW w:w="10490" w:type="dxa"/>
            <w:shd w:val="clear" w:color="auto" w:fill="D9D9D9" w:themeFill="background1" w:themeFillShade="D9"/>
          </w:tcPr>
          <w:p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:rsidTr="00116121">
        <w:trPr>
          <w:trHeight w:val="1615"/>
        </w:trPr>
        <w:tc>
          <w:tcPr>
            <w:tcW w:w="10490" w:type="dxa"/>
          </w:tcPr>
          <w:p w:rsidR="00BF42B0" w:rsidRDefault="00BF42B0" w:rsidP="0011612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>Offer meaningful decision points to MPS governance forums to ensure that MPS operates within risk appetite, and decision makers are fully informed and equipped as to where financial opportunities exist.</w:t>
            </w:r>
          </w:p>
          <w:p w:rsidR="00BF42B0" w:rsidRDefault="00BF42B0" w:rsidP="0011612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>As the healthcare and risk management landscape continually changes, keep abreast of evolving legislation and best practice; identify and recommend opportunities for MPS to become more efficient and effective</w:t>
            </w:r>
          </w:p>
          <w:p w:rsidR="00BF42B0" w:rsidRPr="00116121" w:rsidRDefault="003D7800" w:rsidP="0011612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>Undertake other duties and tasks that from time to time may be required and that are appropriate to the rol</w:t>
            </w:r>
            <w:r w:rsidR="00806438">
              <w:rPr>
                <w:rFonts w:ascii="Arial" w:hAnsi="Arial" w:cs="Arial"/>
                <w:sz w:val="20"/>
                <w:szCs w:val="20"/>
              </w:rPr>
              <w:t>e.</w:t>
            </w:r>
          </w:p>
        </w:tc>
      </w:tr>
    </w:tbl>
    <w:p w:rsidR="005E633A" w:rsidRPr="00631771" w:rsidRDefault="005E633A" w:rsidP="00116121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:rsidTr="00631771">
        <w:trPr>
          <w:trHeight w:val="287"/>
        </w:trPr>
        <w:tc>
          <w:tcPr>
            <w:tcW w:w="10490" w:type="dxa"/>
            <w:shd w:val="clear" w:color="auto" w:fill="D9D9D9" w:themeFill="background1" w:themeFillShade="D9"/>
          </w:tcPr>
          <w:p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:rsidTr="00631771">
        <w:trPr>
          <w:trHeight w:val="344"/>
        </w:trPr>
        <w:tc>
          <w:tcPr>
            <w:tcW w:w="10490" w:type="dxa"/>
          </w:tcPr>
          <w:p w:rsidR="005542D1" w:rsidRPr="00BF42B0" w:rsidRDefault="00F16A63" w:rsidP="00BF42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in </w:t>
            </w:r>
            <w:r w:rsidR="00BF42B0" w:rsidRPr="00F35A13">
              <w:rPr>
                <w:rFonts w:ascii="Arial" w:hAnsi="Arial" w:cs="Arial"/>
                <w:sz w:val="20"/>
                <w:szCs w:val="20"/>
              </w:rPr>
              <w:t>governance forums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Underwriting</w:t>
            </w:r>
            <w:r w:rsidR="00BF42B0" w:rsidRPr="00F35A13">
              <w:rPr>
                <w:rFonts w:ascii="Arial" w:hAnsi="Arial" w:cs="Arial"/>
                <w:sz w:val="20"/>
                <w:szCs w:val="20"/>
              </w:rPr>
              <w:t xml:space="preserve"> and wider MPS</w:t>
            </w:r>
            <w:r>
              <w:rPr>
                <w:rFonts w:ascii="Arial" w:hAnsi="Arial" w:cs="Arial"/>
                <w:sz w:val="20"/>
                <w:szCs w:val="20"/>
              </w:rPr>
              <w:t xml:space="preserve"> to include UMAR and PPUC</w:t>
            </w:r>
          </w:p>
        </w:tc>
      </w:tr>
    </w:tbl>
    <w:p w:rsidR="005542D1" w:rsidRPr="00631771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75089" w:rsidRDefault="00C91CFA" w:rsidP="0063177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:rsidTr="00FF16B8">
        <w:trPr>
          <w:trHeight w:val="211"/>
        </w:trPr>
        <w:tc>
          <w:tcPr>
            <w:tcW w:w="6008" w:type="dxa"/>
          </w:tcPr>
          <w:p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75089" w:rsidRDefault="005E633A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5901B7">
              <w:rPr>
                <w:rFonts w:ascii="Arial" w:hAnsi="Arial" w:cs="Arial"/>
                <w:sz w:val="20"/>
                <w:szCs w:val="20"/>
              </w:rPr>
              <w:t>the Organisation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  <w:tr w:rsidR="004D18E8" w:rsidRPr="00B75089" w:rsidTr="00FF16B8">
        <w:trPr>
          <w:trHeight w:val="211"/>
        </w:trPr>
        <w:tc>
          <w:tcPr>
            <w:tcW w:w="6008" w:type="dxa"/>
          </w:tcPr>
          <w:p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:rsidR="004D18E8" w:rsidRPr="00B75089" w:rsidRDefault="005E633A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p w:rsidR="005901B7" w:rsidRDefault="005901B7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573" w:type="dxa"/>
        <w:tblLayout w:type="fixed"/>
        <w:tblLook w:val="04A0" w:firstRow="1" w:lastRow="0" w:firstColumn="1" w:lastColumn="0" w:noHBand="0" w:noVBand="1"/>
      </w:tblPr>
      <w:tblGrid>
        <w:gridCol w:w="459"/>
        <w:gridCol w:w="2343"/>
        <w:gridCol w:w="3827"/>
        <w:gridCol w:w="3944"/>
      </w:tblGrid>
      <w:tr w:rsidR="005901B7" w:rsidRPr="00B75089" w:rsidTr="00631771">
        <w:trPr>
          <w:trHeight w:val="422"/>
        </w:trPr>
        <w:tc>
          <w:tcPr>
            <w:tcW w:w="459" w:type="dxa"/>
            <w:shd w:val="clear" w:color="auto" w:fill="D9D9D9" w:themeFill="background1" w:themeFillShade="D9"/>
          </w:tcPr>
          <w:p w:rsidR="005901B7" w:rsidRPr="00B75089" w:rsidRDefault="005901B7" w:rsidP="00A074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D9D9D9" w:themeFill="background1" w:themeFillShade="D9"/>
          </w:tcPr>
          <w:p w:rsidR="005901B7" w:rsidRPr="00B75089" w:rsidRDefault="005901B7" w:rsidP="00A074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5901B7" w:rsidRPr="00B75089" w:rsidRDefault="005901B7" w:rsidP="00A074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44" w:type="dxa"/>
            <w:shd w:val="clear" w:color="auto" w:fill="D9D9D9" w:themeFill="background1" w:themeFillShade="D9"/>
          </w:tcPr>
          <w:p w:rsidR="005901B7" w:rsidRPr="00B75089" w:rsidRDefault="005901B7" w:rsidP="00A074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5901B7" w:rsidRPr="00B75089" w:rsidTr="00631771">
        <w:trPr>
          <w:cantSplit/>
          <w:trHeight w:val="2219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:rsidR="005901B7" w:rsidRPr="00B75089" w:rsidRDefault="00631771" w:rsidP="005901B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Es</w:t>
            </w:r>
            <w:r w:rsidR="005901B7" w:rsidRPr="00B75089">
              <w:rPr>
                <w:rFonts w:ascii="Arial" w:hAnsi="Arial" w:cs="Arial"/>
                <w:b/>
                <w:sz w:val="20"/>
                <w:szCs w:val="20"/>
              </w:rPr>
              <w:t>sential</w:t>
            </w:r>
          </w:p>
        </w:tc>
        <w:tc>
          <w:tcPr>
            <w:tcW w:w="2343" w:type="dxa"/>
          </w:tcPr>
          <w:p w:rsidR="005901B7" w:rsidRPr="0000618E" w:rsidRDefault="005901B7" w:rsidP="005901B7">
            <w:pPr>
              <w:pStyle w:val="ListParagraph"/>
              <w:numPr>
                <w:ilvl w:val="0"/>
                <w:numId w:val="29"/>
              </w:numPr>
              <w:ind w:left="175"/>
              <w:rPr>
                <w:rFonts w:ascii="Arial" w:hAnsi="Arial" w:cs="Arial"/>
                <w:sz w:val="20"/>
                <w:szCs w:val="20"/>
              </w:rPr>
            </w:pPr>
            <w:r w:rsidRPr="0000618E">
              <w:rPr>
                <w:rFonts w:ascii="Arial" w:eastAsia="Calibri" w:hAnsi="Arial" w:cs="Arial"/>
                <w:sz w:val="20"/>
                <w:szCs w:val="20"/>
              </w:rPr>
              <w:t xml:space="preserve">Educated to a degree standard </w:t>
            </w:r>
          </w:p>
          <w:p w:rsidR="005901B7" w:rsidRDefault="005901B7" w:rsidP="005901B7">
            <w:pPr>
              <w:pStyle w:val="ListParagraph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:rsidR="005901B7" w:rsidRDefault="005901B7" w:rsidP="005901B7">
            <w:pPr>
              <w:pStyle w:val="ListParagraph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6088" w:rsidRDefault="00506088" w:rsidP="005901B7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Highly Proficient Underwriter</w:t>
            </w:r>
          </w:p>
          <w:p w:rsidR="005901B7" w:rsidRPr="00870112" w:rsidRDefault="005901B7" w:rsidP="005901B7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="Arial" w:hAnsi="Arial" w:cs="Arial"/>
                <w:sz w:val="20"/>
                <w:szCs w:val="20"/>
              </w:rPr>
            </w:pPr>
            <w:r w:rsidRPr="00870112">
              <w:rPr>
                <w:rFonts w:ascii="Arial" w:hAnsi="Arial" w:cs="Arial"/>
                <w:sz w:val="20"/>
                <w:szCs w:val="20"/>
              </w:rPr>
              <w:t xml:space="preserve">Managing senior stakeholders </w:t>
            </w:r>
          </w:p>
          <w:p w:rsidR="005901B7" w:rsidRPr="00870112" w:rsidRDefault="005901B7" w:rsidP="005901B7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="Arial" w:hAnsi="Arial" w:cs="Arial"/>
                <w:sz w:val="20"/>
                <w:szCs w:val="20"/>
              </w:rPr>
            </w:pPr>
            <w:r w:rsidRPr="00870112">
              <w:rPr>
                <w:rFonts w:ascii="Arial" w:hAnsi="Arial" w:cs="Arial"/>
                <w:sz w:val="20"/>
                <w:szCs w:val="20"/>
              </w:rPr>
              <w:t>Leadership and Operational Management teams/departments</w:t>
            </w:r>
          </w:p>
          <w:p w:rsidR="005901B7" w:rsidRPr="00870112" w:rsidRDefault="005901B7" w:rsidP="005901B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70112">
              <w:rPr>
                <w:rFonts w:ascii="Arial" w:hAnsi="Arial" w:cs="Arial"/>
                <w:sz w:val="20"/>
                <w:szCs w:val="20"/>
              </w:rPr>
              <w:t>Change management / Projects management /Lean (six sigma)  / Continuous Improvement</w:t>
            </w:r>
          </w:p>
          <w:p w:rsidR="005901B7" w:rsidRDefault="005901B7" w:rsidP="005901B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70112">
              <w:rPr>
                <w:rFonts w:ascii="Arial" w:hAnsi="Arial" w:cs="Arial"/>
                <w:sz w:val="20"/>
                <w:szCs w:val="20"/>
              </w:rPr>
              <w:t>Resource planning and productivity management</w:t>
            </w:r>
            <w:r w:rsidR="006317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6088" w:rsidRPr="00870112" w:rsidRDefault="00506088" w:rsidP="00506088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944" w:type="dxa"/>
          </w:tcPr>
          <w:p w:rsidR="005901B7" w:rsidRDefault="005901B7" w:rsidP="005901B7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Transformational leadership</w:t>
            </w:r>
          </w:p>
          <w:p w:rsidR="00870112" w:rsidRPr="00870112" w:rsidRDefault="005901B7" w:rsidP="005901B7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870112">
              <w:rPr>
                <w:rFonts w:ascii="Arial" w:eastAsia="Calibri" w:hAnsi="Arial" w:cs="Arial"/>
                <w:sz w:val="20"/>
                <w:szCs w:val="20"/>
              </w:rPr>
              <w:t xml:space="preserve">Extensive operational management - preferably in a progressive medical malpractice and /or insurance or other regulatory </w:t>
            </w:r>
            <w:r w:rsidR="00870112" w:rsidRPr="00870112">
              <w:rPr>
                <w:rFonts w:ascii="Arial" w:eastAsia="Calibri" w:hAnsi="Arial" w:cs="Arial"/>
                <w:sz w:val="20"/>
                <w:szCs w:val="20"/>
              </w:rPr>
              <w:t>environment</w:t>
            </w:r>
          </w:p>
          <w:p w:rsidR="00631771" w:rsidRPr="005901B7" w:rsidRDefault="00631771" w:rsidP="00631771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Exposure to training and competence schemes – building capability in a regulated environment.</w:t>
            </w:r>
          </w:p>
        </w:tc>
      </w:tr>
      <w:tr w:rsidR="005901B7" w:rsidRPr="00B75089" w:rsidTr="005901B7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:rsidR="005901B7" w:rsidRPr="00B75089" w:rsidRDefault="005901B7" w:rsidP="005901B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343" w:type="dxa"/>
          </w:tcPr>
          <w:p w:rsidR="00870112" w:rsidRDefault="00506088" w:rsidP="00870112">
            <w:pPr>
              <w:pStyle w:val="ListParagraph"/>
              <w:numPr>
                <w:ilvl w:val="0"/>
                <w:numId w:val="25"/>
              </w:numPr>
              <w:ind w:left="250" w:hanging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901B7" w:rsidRPr="00870112">
              <w:rPr>
                <w:rFonts w:ascii="Arial" w:hAnsi="Arial" w:cs="Arial"/>
                <w:sz w:val="20"/>
                <w:szCs w:val="20"/>
              </w:rPr>
              <w:t>CII</w:t>
            </w:r>
            <w:r w:rsidR="00A1066F">
              <w:rPr>
                <w:rFonts w:ascii="Arial" w:hAnsi="Arial" w:cs="Arial"/>
                <w:sz w:val="20"/>
                <w:szCs w:val="20"/>
              </w:rPr>
              <w:t>/FCII</w:t>
            </w:r>
            <w:r w:rsidR="005901B7" w:rsidRPr="00870112">
              <w:rPr>
                <w:rFonts w:ascii="Arial" w:hAnsi="Arial" w:cs="Arial"/>
                <w:sz w:val="20"/>
                <w:szCs w:val="20"/>
              </w:rPr>
              <w:t xml:space="preserve"> Qualified (this may become an essential requirement of the role over time)</w:t>
            </w:r>
          </w:p>
          <w:p w:rsidR="005901B7" w:rsidRPr="00631771" w:rsidRDefault="005901B7" w:rsidP="00631771">
            <w:pPr>
              <w:pStyle w:val="ListParagraph"/>
              <w:numPr>
                <w:ilvl w:val="0"/>
                <w:numId w:val="25"/>
              </w:numPr>
              <w:ind w:left="250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901B7" w:rsidRDefault="00506088" w:rsidP="005901B7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 and Product Development Experience</w:t>
            </w:r>
          </w:p>
          <w:p w:rsidR="00506088" w:rsidRPr="00870112" w:rsidRDefault="00506088" w:rsidP="005901B7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06088">
              <w:rPr>
                <w:rFonts w:ascii="Arial" w:hAnsi="Arial" w:cs="Arial"/>
                <w:sz w:val="20"/>
                <w:szCs w:val="20"/>
              </w:rPr>
              <w:t>Basic knowledge of actuarial pricing and being able to liaise with actuaries is preferable</w:t>
            </w:r>
          </w:p>
          <w:p w:rsidR="005901B7" w:rsidRPr="00870112" w:rsidRDefault="005901B7" w:rsidP="005901B7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</w:p>
          <w:p w:rsidR="005901B7" w:rsidRPr="00870112" w:rsidRDefault="005901B7" w:rsidP="005901B7">
            <w:pPr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4" w:type="dxa"/>
          </w:tcPr>
          <w:p w:rsidR="005901B7" w:rsidRDefault="005901B7" w:rsidP="005901B7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financial services / insurance in a regulated environment</w:t>
            </w:r>
            <w:r w:rsidR="00161BBB">
              <w:rPr>
                <w:rFonts w:ascii="Arial" w:hAnsi="Arial" w:cs="Arial"/>
                <w:sz w:val="20"/>
                <w:szCs w:val="20"/>
              </w:rPr>
              <w:t>, with Lloyd’s experience being ideal</w:t>
            </w:r>
          </w:p>
          <w:p w:rsidR="005901B7" w:rsidRDefault="005901B7" w:rsidP="00506088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771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="00506088">
              <w:rPr>
                <w:rFonts w:ascii="Arial" w:hAnsi="Arial" w:cs="Arial"/>
                <w:sz w:val="20"/>
                <w:szCs w:val="20"/>
              </w:rPr>
              <w:t>Underwriting</w:t>
            </w:r>
            <w:r w:rsidRPr="0063177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06088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Pr="00631771">
              <w:rPr>
                <w:rFonts w:ascii="Arial" w:hAnsi="Arial" w:cs="Arial"/>
                <w:sz w:val="20"/>
                <w:szCs w:val="20"/>
              </w:rPr>
              <w:t>across different cultures, regulatory regimes and healthcare sectors</w:t>
            </w:r>
          </w:p>
        </w:tc>
      </w:tr>
    </w:tbl>
    <w:p w:rsidR="005901B7" w:rsidRPr="00B75089" w:rsidRDefault="005901B7" w:rsidP="00B75089">
      <w:pPr>
        <w:spacing w:line="240" w:lineRule="auto"/>
        <w:rPr>
          <w:rFonts w:ascii="Arial" w:hAnsi="Arial" w:cs="Arial"/>
        </w:rPr>
      </w:pPr>
    </w:p>
    <w:sectPr w:rsidR="005901B7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393" w:rsidRDefault="00B40393" w:rsidP="009E22D0">
      <w:pPr>
        <w:spacing w:after="0" w:line="240" w:lineRule="auto"/>
      </w:pPr>
      <w:r>
        <w:separator/>
      </w:r>
    </w:p>
  </w:endnote>
  <w:endnote w:type="continuationSeparator" w:id="0">
    <w:p w:rsidR="00B40393" w:rsidRDefault="00B40393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393" w:rsidRDefault="00B40393" w:rsidP="009E22D0">
      <w:pPr>
        <w:spacing w:after="0" w:line="240" w:lineRule="auto"/>
      </w:pPr>
      <w:r>
        <w:separator/>
      </w:r>
    </w:p>
  </w:footnote>
  <w:footnote w:type="continuationSeparator" w:id="0">
    <w:p w:rsidR="00B40393" w:rsidRDefault="00B40393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53EC"/>
    <w:multiLevelType w:val="hybridMultilevel"/>
    <w:tmpl w:val="B8226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A5919"/>
    <w:multiLevelType w:val="hybridMultilevel"/>
    <w:tmpl w:val="729C69F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964EBF8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6823DA"/>
    <w:multiLevelType w:val="hybridMultilevel"/>
    <w:tmpl w:val="4DA6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6A01"/>
    <w:multiLevelType w:val="hybridMultilevel"/>
    <w:tmpl w:val="E03C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1287"/>
    <w:multiLevelType w:val="hybridMultilevel"/>
    <w:tmpl w:val="F980446A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D28E8"/>
    <w:multiLevelType w:val="singleLevel"/>
    <w:tmpl w:val="95A688B2"/>
    <w:lvl w:ilvl="0">
      <w:start w:val="1"/>
      <w:numFmt w:val="bullet"/>
      <w:pStyle w:val="SingleBullet"/>
      <w:lvlText w:val=""/>
      <w:lvlJc w:val="left"/>
      <w:pPr>
        <w:tabs>
          <w:tab w:val="num" w:pos="360"/>
        </w:tabs>
        <w:ind w:left="360" w:hanging="360"/>
      </w:pPr>
      <w:rPr>
        <w:rFonts w:ascii="Typographic Ext" w:hAnsi="Typographic Ext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65A26"/>
    <w:multiLevelType w:val="hybridMultilevel"/>
    <w:tmpl w:val="724C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A5A4A"/>
    <w:multiLevelType w:val="hybridMultilevel"/>
    <w:tmpl w:val="1A8CF5E4"/>
    <w:lvl w:ilvl="0" w:tplc="B19EA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87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28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86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E42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36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D80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80B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70F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7802"/>
    <w:multiLevelType w:val="hybridMultilevel"/>
    <w:tmpl w:val="EC72756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2D04"/>
    <w:multiLevelType w:val="hybridMultilevel"/>
    <w:tmpl w:val="177C4368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52102"/>
    <w:multiLevelType w:val="hybridMultilevel"/>
    <w:tmpl w:val="F2C29BD6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642C3CC1"/>
    <w:multiLevelType w:val="singleLevel"/>
    <w:tmpl w:val="BA2EF988"/>
    <w:lvl w:ilvl="0">
      <w:start w:val="1"/>
      <w:numFmt w:val="bullet"/>
      <w:pStyle w:val="Continuous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1" w15:restartNumberingAfterBreak="0">
    <w:nsid w:val="681B2FBC"/>
    <w:multiLevelType w:val="hybridMultilevel"/>
    <w:tmpl w:val="052256EE"/>
    <w:lvl w:ilvl="0" w:tplc="08090001">
      <w:start w:val="1"/>
      <w:numFmt w:val="bullet"/>
      <w:lvlText w:val=""/>
      <w:lvlJc w:val="left"/>
      <w:pPr>
        <w:ind w:left="3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2" w15:restartNumberingAfterBreak="0">
    <w:nsid w:val="69A82D5B"/>
    <w:multiLevelType w:val="hybridMultilevel"/>
    <w:tmpl w:val="51768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7680F"/>
    <w:multiLevelType w:val="hybridMultilevel"/>
    <w:tmpl w:val="9228753A"/>
    <w:lvl w:ilvl="0" w:tplc="9C2E3A1C">
      <w:start w:val="2019"/>
      <w:numFmt w:val="bullet"/>
      <w:lvlText w:val="-"/>
      <w:lvlJc w:val="left"/>
      <w:pPr>
        <w:ind w:left="394" w:hanging="360"/>
      </w:pPr>
      <w:rPr>
        <w:rFonts w:ascii="Arial" w:eastAsia="Calibri" w:hAnsi="Aria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80A06"/>
    <w:multiLevelType w:val="hybridMultilevel"/>
    <w:tmpl w:val="8760F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B06823"/>
    <w:multiLevelType w:val="hybridMultilevel"/>
    <w:tmpl w:val="8A44BBC4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F531A"/>
    <w:multiLevelType w:val="hybridMultilevel"/>
    <w:tmpl w:val="8B385078"/>
    <w:lvl w:ilvl="0" w:tplc="9BFE0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8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44C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AC3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968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C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9E1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140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27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30CEF"/>
    <w:multiLevelType w:val="hybridMultilevel"/>
    <w:tmpl w:val="9DF4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0"/>
  </w:num>
  <w:num w:numId="5">
    <w:abstractNumId w:val="14"/>
  </w:num>
  <w:num w:numId="6">
    <w:abstractNumId w:val="6"/>
  </w:num>
  <w:num w:numId="7">
    <w:abstractNumId w:val="16"/>
  </w:num>
  <w:num w:numId="8">
    <w:abstractNumId w:val="24"/>
  </w:num>
  <w:num w:numId="9">
    <w:abstractNumId w:val="28"/>
  </w:num>
  <w:num w:numId="10">
    <w:abstractNumId w:val="17"/>
  </w:num>
  <w:num w:numId="11">
    <w:abstractNumId w:val="9"/>
  </w:num>
  <w:num w:numId="12">
    <w:abstractNumId w:val="18"/>
  </w:num>
  <w:num w:numId="13">
    <w:abstractNumId w:val="0"/>
  </w:num>
  <w:num w:numId="14">
    <w:abstractNumId w:val="25"/>
  </w:num>
  <w:num w:numId="15">
    <w:abstractNumId w:val="26"/>
  </w:num>
  <w:num w:numId="16">
    <w:abstractNumId w:val="7"/>
  </w:num>
  <w:num w:numId="17">
    <w:abstractNumId w:val="29"/>
  </w:num>
  <w:num w:numId="18">
    <w:abstractNumId w:val="22"/>
  </w:num>
  <w:num w:numId="19">
    <w:abstractNumId w:val="11"/>
  </w:num>
  <w:num w:numId="20">
    <w:abstractNumId w:val="8"/>
  </w:num>
  <w:num w:numId="21">
    <w:abstractNumId w:val="4"/>
  </w:num>
  <w:num w:numId="22">
    <w:abstractNumId w:val="20"/>
  </w:num>
  <w:num w:numId="23">
    <w:abstractNumId w:val="19"/>
  </w:num>
  <w:num w:numId="24">
    <w:abstractNumId w:val="2"/>
  </w:num>
  <w:num w:numId="25">
    <w:abstractNumId w:val="16"/>
  </w:num>
  <w:num w:numId="26">
    <w:abstractNumId w:val="14"/>
  </w:num>
  <w:num w:numId="27">
    <w:abstractNumId w:val="23"/>
  </w:num>
  <w:num w:numId="28">
    <w:abstractNumId w:val="1"/>
  </w:num>
  <w:num w:numId="29">
    <w:abstractNumId w:val="21"/>
  </w:num>
  <w:num w:numId="30">
    <w:abstractNumId w:val="5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2D0"/>
    <w:rsid w:val="0000618E"/>
    <w:rsid w:val="00024838"/>
    <w:rsid w:val="00054740"/>
    <w:rsid w:val="00082F60"/>
    <w:rsid w:val="000E4361"/>
    <w:rsid w:val="000F29E8"/>
    <w:rsid w:val="00116121"/>
    <w:rsid w:val="00161BBB"/>
    <w:rsid w:val="001817FC"/>
    <w:rsid w:val="001E4271"/>
    <w:rsid w:val="00255027"/>
    <w:rsid w:val="002B557F"/>
    <w:rsid w:val="002C1DF8"/>
    <w:rsid w:val="00320667"/>
    <w:rsid w:val="00366B02"/>
    <w:rsid w:val="003D7800"/>
    <w:rsid w:val="003E5AE3"/>
    <w:rsid w:val="00456D79"/>
    <w:rsid w:val="00487E71"/>
    <w:rsid w:val="004D18E8"/>
    <w:rsid w:val="004F1F28"/>
    <w:rsid w:val="00506088"/>
    <w:rsid w:val="005542D1"/>
    <w:rsid w:val="0056188D"/>
    <w:rsid w:val="005901B7"/>
    <w:rsid w:val="005E633A"/>
    <w:rsid w:val="006219B1"/>
    <w:rsid w:val="00624EEC"/>
    <w:rsid w:val="00631771"/>
    <w:rsid w:val="00666EB3"/>
    <w:rsid w:val="006A12B9"/>
    <w:rsid w:val="006B43C7"/>
    <w:rsid w:val="006E6C60"/>
    <w:rsid w:val="00711E46"/>
    <w:rsid w:val="00717094"/>
    <w:rsid w:val="00730D43"/>
    <w:rsid w:val="0076743B"/>
    <w:rsid w:val="007921E8"/>
    <w:rsid w:val="007E7CA1"/>
    <w:rsid w:val="00806438"/>
    <w:rsid w:val="00813AEB"/>
    <w:rsid w:val="00845CB1"/>
    <w:rsid w:val="00870112"/>
    <w:rsid w:val="008C446E"/>
    <w:rsid w:val="008F6B29"/>
    <w:rsid w:val="00947D6B"/>
    <w:rsid w:val="00947FE1"/>
    <w:rsid w:val="00952856"/>
    <w:rsid w:val="009769EC"/>
    <w:rsid w:val="009B4E4E"/>
    <w:rsid w:val="009B652A"/>
    <w:rsid w:val="009C2577"/>
    <w:rsid w:val="009D7ED2"/>
    <w:rsid w:val="009E22D0"/>
    <w:rsid w:val="00A1066F"/>
    <w:rsid w:val="00A21106"/>
    <w:rsid w:val="00A4414A"/>
    <w:rsid w:val="00A732CC"/>
    <w:rsid w:val="00A74163"/>
    <w:rsid w:val="00AD268F"/>
    <w:rsid w:val="00AD3060"/>
    <w:rsid w:val="00AD5DDA"/>
    <w:rsid w:val="00B2779F"/>
    <w:rsid w:val="00B3369C"/>
    <w:rsid w:val="00B36C1B"/>
    <w:rsid w:val="00B40393"/>
    <w:rsid w:val="00B75089"/>
    <w:rsid w:val="00B760C3"/>
    <w:rsid w:val="00BE611B"/>
    <w:rsid w:val="00BF42B0"/>
    <w:rsid w:val="00C55BE1"/>
    <w:rsid w:val="00C91CFA"/>
    <w:rsid w:val="00D60DA3"/>
    <w:rsid w:val="00E23B0F"/>
    <w:rsid w:val="00E40AC5"/>
    <w:rsid w:val="00EA595D"/>
    <w:rsid w:val="00EE4B15"/>
    <w:rsid w:val="00F00995"/>
    <w:rsid w:val="00F16A63"/>
    <w:rsid w:val="00F461B9"/>
    <w:rsid w:val="00F5319A"/>
    <w:rsid w:val="00F6146D"/>
    <w:rsid w:val="00F71034"/>
    <w:rsid w:val="00F935BB"/>
    <w:rsid w:val="00FB10C7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1FBE381"/>
  <w15:docId w15:val="{D848329D-0FC4-4F80-9187-2751F3A6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952856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52856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11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106"/>
    <w:pPr>
      <w:spacing w:before="0" w:beforeAutospacing="0" w:after="200" w:afterAutospacing="0"/>
    </w:pPr>
    <w:rPr>
      <w:rFonts w:ascii="Calibri" w:eastAsia="Times New Roman" w:hAnsi="Calibri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106"/>
    <w:rPr>
      <w:rFonts w:ascii="Calibri" w:eastAsiaTheme="minorHAnsi" w:hAnsi="Calibri" w:cstheme="minorBidi"/>
      <w:b/>
      <w:bCs/>
      <w:lang w:eastAsia="en-US"/>
    </w:rPr>
  </w:style>
  <w:style w:type="paragraph" w:customStyle="1" w:styleId="SingleBullet">
    <w:name w:val="Single Bullet"/>
    <w:basedOn w:val="Normal"/>
    <w:next w:val="Normal"/>
    <w:rsid w:val="00BF42B0"/>
    <w:pPr>
      <w:numPr>
        <w:numId w:val="20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80" w:lineRule="exact"/>
    </w:pPr>
    <w:rPr>
      <w:rFonts w:ascii="Zurich BT" w:hAnsi="Zurich BT"/>
    </w:rPr>
  </w:style>
  <w:style w:type="paragraph" w:customStyle="1" w:styleId="ContinuousDash1">
    <w:name w:val="Continuous Dash 1"/>
    <w:basedOn w:val="Normal"/>
    <w:rsid w:val="00BF42B0"/>
    <w:pPr>
      <w:numPr>
        <w:numId w:val="22"/>
      </w:numPr>
      <w:tabs>
        <w:tab w:val="clear" w:pos="1080"/>
        <w:tab w:val="left" w:pos="360"/>
        <w:tab w:val="num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  <w:rPr>
      <w:rFonts w:ascii="Zurich BT" w:hAnsi="Zurich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A8F012D5-8259-4283-95A3-1D5536FBDC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Jordan,Tim</cp:lastModifiedBy>
  <cp:revision>13</cp:revision>
  <dcterms:created xsi:type="dcterms:W3CDTF">2019-09-06T09:36:00Z</dcterms:created>
  <dcterms:modified xsi:type="dcterms:W3CDTF">2019-10-14T08:19:00Z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230412b6-42f5-4c01-9f28-cf7bc40517e9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