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3EAFA9A4" w14:textId="77777777" w:rsidTr="00560482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D7A9840" w14:textId="77777777" w:rsidR="00F5319A" w:rsidRPr="00B75089" w:rsidRDefault="00F5319A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32FAC3D" w14:textId="202BC748" w:rsidR="00F5319A" w:rsidRPr="00B75089" w:rsidRDefault="000939B2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Talent Acquisition </w:t>
            </w:r>
            <w:r w:rsidR="00706E4D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EF6398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8CCAA57" w14:textId="34CC5F36" w:rsidR="00F5319A" w:rsidRPr="00B75089" w:rsidRDefault="000939B2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Talent Acquisition</w:t>
            </w:r>
            <w:r w:rsidR="00225D27">
              <w:rPr>
                <w:rFonts w:ascii="Arial" w:hAnsi="Arial" w:cs="Arial"/>
                <w:sz w:val="20"/>
                <w:szCs w:val="20"/>
              </w:rPr>
              <w:t xml:space="preserve"> Lead</w:t>
            </w:r>
          </w:p>
        </w:tc>
      </w:tr>
      <w:tr w:rsidR="00F5319A" w:rsidRPr="00B75089" w14:paraId="0D98E433" w14:textId="77777777" w:rsidTr="00560482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40BD0D7" w14:textId="77777777" w:rsidR="00F5319A" w:rsidRPr="00B75089" w:rsidRDefault="00F5319A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457C743" w14:textId="6D0BAA18" w:rsidR="00F5319A" w:rsidRPr="00B75089" w:rsidRDefault="00362797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6841242" w14:textId="77777777" w:rsidR="00F5319A" w:rsidRPr="00B75089" w:rsidRDefault="006219B1" w:rsidP="00362797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3BD3B4E" w14:textId="7310D3EA" w:rsidR="00F5319A" w:rsidRPr="00B75089" w:rsidRDefault="00362797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83672D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</w:tr>
      <w:tr w:rsidR="00F5319A" w:rsidRPr="00B75089" w14:paraId="7BE9A256" w14:textId="77777777" w:rsidTr="00B95E5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D77293B" w14:textId="77777777" w:rsidR="00F5319A" w:rsidRPr="00B75089" w:rsidRDefault="00F5319A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F7598D3" w14:textId="77777777" w:rsidR="00F5319A" w:rsidRPr="00D40ED9" w:rsidRDefault="00630E7C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D7488B3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AD481D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4B481EF" w14:textId="3E1B4DB8" w:rsidR="00B75089" w:rsidRPr="00B75089" w:rsidRDefault="00A95854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2D54">
              <w:rPr>
                <w:rFonts w:ascii="Arial" w:hAnsi="Arial" w:cs="Arial"/>
                <w:sz w:val="20"/>
                <w:szCs w:val="20"/>
              </w:rPr>
              <w:t>Recruitment and resourcing practices globally.</w:t>
            </w:r>
          </w:p>
        </w:tc>
      </w:tr>
      <w:tr w:rsidR="00F5319A" w:rsidRPr="00B75089" w14:paraId="288ED03B" w14:textId="77777777" w:rsidTr="00560482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4D05A864" w14:textId="77777777" w:rsidR="00F5319A" w:rsidRPr="00B75089" w:rsidRDefault="00F5319A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D19D493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FCF9DA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E09C9C9" w14:textId="694160CE" w:rsidR="00F5319A" w:rsidRPr="00B75089" w:rsidRDefault="00E00991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964AF">
              <w:rPr>
                <w:rFonts w:ascii="Arial" w:hAnsi="Arial" w:cs="Arial"/>
                <w:sz w:val="20"/>
                <w:szCs w:val="20"/>
              </w:rPr>
              <w:t>Supports the MPS group approximate 1,000 employees</w:t>
            </w:r>
          </w:p>
        </w:tc>
      </w:tr>
      <w:tr w:rsidR="00F5319A" w:rsidRPr="00B75089" w14:paraId="186D5FA8" w14:textId="77777777" w:rsidTr="00B95E59">
        <w:trPr>
          <w:trHeight w:val="675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D7215B" w14:textId="77777777" w:rsidR="00F5319A" w:rsidRPr="00B75089" w:rsidRDefault="00F5319A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D276332" w14:textId="77777777" w:rsidR="00F5319A" w:rsidRPr="00B75089" w:rsidRDefault="00F5319A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B15456A" w14:textId="77777777" w:rsidR="00F5319A" w:rsidRPr="00B75089" w:rsidRDefault="007E7CA1" w:rsidP="00362797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A14BB97" w14:textId="77777777" w:rsidR="00F5319A" w:rsidRPr="00B75089" w:rsidRDefault="00D40ED9" w:rsidP="00362797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77BA8154" w14:textId="77777777" w:rsidTr="00560482">
        <w:trPr>
          <w:trHeight w:val="270"/>
        </w:trPr>
        <w:tc>
          <w:tcPr>
            <w:tcW w:w="2127" w:type="dxa"/>
            <w:shd w:val="clear" w:color="auto" w:fill="D9D9D9" w:themeFill="background1" w:themeFillShade="D9"/>
          </w:tcPr>
          <w:p w14:paraId="36FB74AB" w14:textId="77777777" w:rsidR="007E7CA1" w:rsidRPr="00B75089" w:rsidRDefault="007E7CA1" w:rsidP="00362797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7B78648" w14:textId="3B99C2FF" w:rsidR="007E7CA1" w:rsidRPr="00B75089" w:rsidRDefault="00B95E59" w:rsidP="00362797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83672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6A760E9" w14:textId="77777777" w:rsidR="007E7CA1" w:rsidRPr="00B75089" w:rsidRDefault="007E7CA1" w:rsidP="00362797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E3D7B92" w14:textId="42B92BC0" w:rsidR="007E7CA1" w:rsidRPr="00B75089" w:rsidRDefault="0083672D" w:rsidP="00362797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Group Corporate </w:t>
            </w:r>
            <w:r w:rsidR="0039480F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Services</w:t>
            </w:r>
          </w:p>
        </w:tc>
      </w:tr>
    </w:tbl>
    <w:p w14:paraId="490065EE" w14:textId="77777777" w:rsidR="00F5319A" w:rsidRPr="00B75089" w:rsidRDefault="00F5319A" w:rsidP="0036279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84D0455" w14:textId="77777777" w:rsidTr="00361A7E">
        <w:trPr>
          <w:trHeight w:val="187"/>
        </w:trPr>
        <w:tc>
          <w:tcPr>
            <w:tcW w:w="10509" w:type="dxa"/>
            <w:shd w:val="clear" w:color="auto" w:fill="D9D9D9" w:themeFill="background1" w:themeFillShade="D9"/>
          </w:tcPr>
          <w:p w14:paraId="2F534363" w14:textId="77777777" w:rsidR="009E22D0" w:rsidRPr="00B75089" w:rsidRDefault="009E22D0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3AF3543A" w14:textId="77777777" w:rsidTr="009E22D0">
        <w:trPr>
          <w:trHeight w:val="693"/>
        </w:trPr>
        <w:tc>
          <w:tcPr>
            <w:tcW w:w="10509" w:type="dxa"/>
          </w:tcPr>
          <w:p w14:paraId="2DAC02C7" w14:textId="17B5EE87" w:rsidR="00D40ED9" w:rsidRPr="00772DFF" w:rsidRDefault="00B95E59" w:rsidP="0036279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2DFF">
              <w:rPr>
                <w:rFonts w:ascii="Arial" w:hAnsi="Arial" w:cs="Arial"/>
                <w:sz w:val="20"/>
                <w:szCs w:val="20"/>
              </w:rPr>
              <w:t>T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F21709">
              <w:rPr>
                <w:rFonts w:ascii="Arial" w:hAnsi="Arial" w:cs="Arial"/>
                <w:sz w:val="20"/>
                <w:szCs w:val="20"/>
              </w:rPr>
              <w:t>Talent Acquisition</w:t>
            </w:r>
            <w:r w:rsidR="00E47512" w:rsidRPr="00772DFF">
              <w:rPr>
                <w:rFonts w:ascii="Arial" w:hAnsi="Arial" w:cs="Arial"/>
                <w:sz w:val="20"/>
                <w:szCs w:val="20"/>
              </w:rPr>
              <w:t xml:space="preserve"> Assistant</w:t>
            </w:r>
            <w:r w:rsidR="00B03B50" w:rsidRPr="0077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285">
              <w:rPr>
                <w:rFonts w:ascii="Arial" w:hAnsi="Arial" w:cs="Arial"/>
                <w:sz w:val="20"/>
                <w:szCs w:val="20"/>
              </w:rPr>
              <w:t xml:space="preserve">(TAA) 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will provide support to the </w:t>
            </w:r>
            <w:r w:rsidR="00F21709">
              <w:rPr>
                <w:rFonts w:ascii="Arial" w:hAnsi="Arial" w:cs="Arial"/>
                <w:sz w:val="20"/>
                <w:szCs w:val="20"/>
              </w:rPr>
              <w:t xml:space="preserve">Talent Acquisition </w:t>
            </w:r>
            <w:r w:rsidR="008143E3">
              <w:rPr>
                <w:rFonts w:ascii="Arial" w:hAnsi="Arial" w:cs="Arial"/>
                <w:sz w:val="20"/>
                <w:szCs w:val="20"/>
              </w:rPr>
              <w:t>team to ensure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effective and efficient support 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>of</w:t>
            </w:r>
            <w:r w:rsidR="005002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6DE4">
              <w:rPr>
                <w:rFonts w:ascii="Arial" w:hAnsi="Arial" w:cs="Arial"/>
                <w:sz w:val="20"/>
                <w:szCs w:val="20"/>
              </w:rPr>
              <w:t>recruitment activity</w:t>
            </w:r>
            <w:r w:rsidR="00500285">
              <w:rPr>
                <w:rFonts w:ascii="Arial" w:hAnsi="Arial" w:cs="Arial"/>
                <w:sz w:val="20"/>
                <w:szCs w:val="20"/>
              </w:rPr>
              <w:t>. Reporting to the Talent Acquisition Lead</w:t>
            </w:r>
            <w:r w:rsidR="00ED19F9">
              <w:rPr>
                <w:rFonts w:ascii="Arial" w:hAnsi="Arial" w:cs="Arial"/>
                <w:sz w:val="20"/>
                <w:szCs w:val="20"/>
              </w:rPr>
              <w:t>, the TAA will work closely with Talent Acquisition Specialists</w:t>
            </w:r>
            <w:r w:rsidR="0086032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ED19F9">
              <w:rPr>
                <w:rFonts w:ascii="Arial" w:hAnsi="Arial" w:cs="Arial"/>
                <w:sz w:val="20"/>
                <w:szCs w:val="20"/>
              </w:rPr>
              <w:t xml:space="preserve"> People Services </w:t>
            </w:r>
            <w:r w:rsidR="0086032D">
              <w:rPr>
                <w:rFonts w:ascii="Arial" w:hAnsi="Arial" w:cs="Arial"/>
                <w:sz w:val="20"/>
                <w:szCs w:val="20"/>
              </w:rPr>
              <w:t xml:space="preserve">colleagues to deliver </w:t>
            </w:r>
            <w:r w:rsidR="00064E73">
              <w:rPr>
                <w:rFonts w:ascii="Arial" w:hAnsi="Arial" w:cs="Arial"/>
                <w:sz w:val="20"/>
                <w:szCs w:val="20"/>
              </w:rPr>
              <w:t>a</w:t>
            </w:r>
            <w:r w:rsidR="00753C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450">
              <w:rPr>
                <w:rFonts w:ascii="Arial" w:hAnsi="Arial" w:cs="Arial"/>
                <w:sz w:val="20"/>
                <w:szCs w:val="20"/>
              </w:rPr>
              <w:t xml:space="preserve">fast paced, positive </w:t>
            </w:r>
            <w:r w:rsidR="00547094">
              <w:rPr>
                <w:rFonts w:ascii="Arial" w:hAnsi="Arial" w:cs="Arial"/>
                <w:sz w:val="20"/>
                <w:szCs w:val="20"/>
              </w:rPr>
              <w:t>recruitment journey for hiring managers and</w:t>
            </w:r>
            <w:r w:rsidR="00C50676">
              <w:rPr>
                <w:rFonts w:ascii="Arial" w:hAnsi="Arial" w:cs="Arial"/>
                <w:sz w:val="20"/>
                <w:szCs w:val="20"/>
              </w:rPr>
              <w:t xml:space="preserve"> candidates.</w:t>
            </w:r>
          </w:p>
        </w:tc>
      </w:tr>
    </w:tbl>
    <w:p w14:paraId="23F2F6EF" w14:textId="77777777" w:rsidR="004F35E0" w:rsidRPr="00B75089" w:rsidRDefault="004F35E0" w:rsidP="0036279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480"/>
        <w:gridCol w:w="3007"/>
      </w:tblGrid>
      <w:tr w:rsidR="009E22D0" w:rsidRPr="00B75089" w14:paraId="04394D45" w14:textId="77777777" w:rsidTr="00361A7E">
        <w:trPr>
          <w:trHeight w:val="229"/>
        </w:trPr>
        <w:tc>
          <w:tcPr>
            <w:tcW w:w="7480" w:type="dxa"/>
            <w:shd w:val="clear" w:color="auto" w:fill="D9D9D9" w:themeFill="background1" w:themeFillShade="D9"/>
          </w:tcPr>
          <w:p w14:paraId="3AF7FBB4" w14:textId="77777777" w:rsidR="009E22D0" w:rsidRPr="00B75089" w:rsidRDefault="009E22D0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67FE9CD" w14:textId="77777777" w:rsidR="009E22D0" w:rsidRPr="00B75089" w:rsidRDefault="009E22D0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4B6D2282" w14:textId="77777777" w:rsidTr="00361A7E">
        <w:trPr>
          <w:trHeight w:val="578"/>
        </w:trPr>
        <w:tc>
          <w:tcPr>
            <w:tcW w:w="7480" w:type="dxa"/>
          </w:tcPr>
          <w:p w14:paraId="255603D8" w14:textId="77777777" w:rsidR="0056188D" w:rsidRDefault="00B95E59" w:rsidP="00362797">
            <w:pPr>
              <w:spacing w:after="0" w:line="240" w:lineRule="auto"/>
              <w:ind w:left="425" w:hanging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6FDE3CA6" w14:textId="78BEED7C" w:rsidR="009000D5" w:rsidRPr="009B6289" w:rsidRDefault="00B95E59" w:rsidP="00650553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>Support t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 xml:space="preserve">he delivery of the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F97583" w:rsidRPr="009B6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>strategy to plan, cost and quality</w:t>
            </w:r>
          </w:p>
          <w:p w14:paraId="0099D54A" w14:textId="02915EA1" w:rsidR="00B105AD" w:rsidRPr="00523E9A" w:rsidRDefault="00CE6CF7" w:rsidP="00650553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</w:t>
            </w:r>
            <w:r w:rsidR="00523E9A" w:rsidRPr="00523E9A">
              <w:rPr>
                <w:rFonts w:ascii="Arial" w:hAnsi="Arial" w:cs="Arial"/>
                <w:sz w:val="20"/>
                <w:szCs w:val="20"/>
              </w:rPr>
              <w:t xml:space="preserve"> recruitment tracking and </w:t>
            </w:r>
            <w:r>
              <w:rPr>
                <w:rFonts w:ascii="Arial" w:hAnsi="Arial" w:cs="Arial"/>
                <w:sz w:val="20"/>
                <w:szCs w:val="20"/>
              </w:rPr>
              <w:t>data accuracy</w:t>
            </w:r>
            <w:r w:rsidR="00523E9A" w:rsidRPr="00523E9A">
              <w:rPr>
                <w:rFonts w:ascii="Arial" w:hAnsi="Arial" w:cs="Arial"/>
                <w:sz w:val="20"/>
                <w:szCs w:val="20"/>
              </w:rPr>
              <w:t xml:space="preserve"> for reporting to include checking all new ATRs</w:t>
            </w:r>
            <w:r w:rsidR="0065195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523E9A" w:rsidRPr="00523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6DF">
              <w:rPr>
                <w:rFonts w:ascii="Arial" w:hAnsi="Arial" w:cs="Arial"/>
                <w:sz w:val="20"/>
                <w:szCs w:val="20"/>
              </w:rPr>
              <w:t xml:space="preserve">updating </w:t>
            </w:r>
            <w:r w:rsidR="007153BC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0E46DF">
              <w:rPr>
                <w:rFonts w:ascii="Arial" w:hAnsi="Arial" w:cs="Arial"/>
                <w:sz w:val="20"/>
                <w:szCs w:val="20"/>
              </w:rPr>
              <w:t>track</w:t>
            </w:r>
            <w:r w:rsidR="007153BC">
              <w:rPr>
                <w:rFonts w:ascii="Arial" w:hAnsi="Arial" w:cs="Arial"/>
                <w:sz w:val="20"/>
                <w:szCs w:val="20"/>
              </w:rPr>
              <w:t>ers.</w:t>
            </w:r>
          </w:p>
          <w:p w14:paraId="40622634" w14:textId="531160C7" w:rsidR="009000D5" w:rsidRPr="009B6289" w:rsidRDefault="009000D5" w:rsidP="00650553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Support on assigned </w:t>
            </w:r>
            <w:r w:rsidR="0065195C">
              <w:rPr>
                <w:rFonts w:ascii="Arial" w:hAnsi="Arial" w:cs="Arial"/>
                <w:sz w:val="20"/>
                <w:szCs w:val="20"/>
              </w:rPr>
              <w:t>Talent Acquisition</w:t>
            </w:r>
            <w:r w:rsidRPr="009B6289">
              <w:rPr>
                <w:rFonts w:ascii="Arial" w:hAnsi="Arial" w:cs="Arial"/>
                <w:sz w:val="20"/>
                <w:szCs w:val="20"/>
              </w:rPr>
              <w:t xml:space="preserve"> projects and roll out other projects/initiatives within P</w:t>
            </w:r>
            <w:r w:rsidR="00362797">
              <w:rPr>
                <w:rFonts w:ascii="Arial" w:hAnsi="Arial" w:cs="Arial"/>
                <w:sz w:val="20"/>
                <w:szCs w:val="20"/>
              </w:rPr>
              <w:t>eople</w:t>
            </w:r>
            <w:r w:rsidRPr="009B6289">
              <w:rPr>
                <w:rFonts w:ascii="Arial" w:hAnsi="Arial" w:cs="Arial"/>
                <w:sz w:val="20"/>
                <w:szCs w:val="20"/>
              </w:rPr>
              <w:t xml:space="preserve"> ensuring delivery of projects to time, cost and quality and that can demonstrate a return on investment</w:t>
            </w:r>
            <w:r w:rsidR="00F957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F32561" w14:textId="6D2AC6F3" w:rsidR="00B26A55" w:rsidRPr="00051D2A" w:rsidRDefault="00B26A55" w:rsidP="00650553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51D2A">
              <w:rPr>
                <w:rFonts w:ascii="Arial" w:hAnsi="Arial" w:cs="Arial"/>
                <w:sz w:val="20"/>
                <w:szCs w:val="20"/>
              </w:rPr>
              <w:t>Assist with post offer candidate actions such as accurate and timely completion of Pro Formas, initiation of R</w:t>
            </w:r>
            <w:r w:rsidR="00051D2A" w:rsidRPr="00051D2A">
              <w:rPr>
                <w:rFonts w:ascii="Arial" w:hAnsi="Arial" w:cs="Arial"/>
                <w:sz w:val="20"/>
                <w:szCs w:val="20"/>
              </w:rPr>
              <w:t xml:space="preserve">ight </w:t>
            </w:r>
            <w:proofErr w:type="gramStart"/>
            <w:r w:rsidRPr="00051D2A">
              <w:rPr>
                <w:rFonts w:ascii="Arial" w:hAnsi="Arial" w:cs="Arial"/>
                <w:sz w:val="20"/>
                <w:szCs w:val="20"/>
              </w:rPr>
              <w:t>T</w:t>
            </w:r>
            <w:r w:rsidR="00051D2A" w:rsidRPr="00051D2A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="00051D2A" w:rsidRPr="00051D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1D2A">
              <w:rPr>
                <w:rFonts w:ascii="Arial" w:hAnsi="Arial" w:cs="Arial"/>
                <w:sz w:val="20"/>
                <w:szCs w:val="20"/>
              </w:rPr>
              <w:t>W</w:t>
            </w:r>
            <w:r w:rsidR="00051D2A" w:rsidRPr="00051D2A">
              <w:rPr>
                <w:rFonts w:ascii="Arial" w:hAnsi="Arial" w:cs="Arial"/>
                <w:sz w:val="20"/>
                <w:szCs w:val="20"/>
              </w:rPr>
              <w:t xml:space="preserve">ork checks and </w:t>
            </w:r>
            <w:r w:rsidRPr="00051D2A">
              <w:rPr>
                <w:rFonts w:ascii="Arial" w:hAnsi="Arial" w:cs="Arial"/>
                <w:sz w:val="20"/>
                <w:szCs w:val="20"/>
              </w:rPr>
              <w:t>liaising with Managers</w:t>
            </w:r>
            <w:r w:rsidR="00051D2A" w:rsidRPr="00051D2A">
              <w:rPr>
                <w:rFonts w:ascii="Arial" w:hAnsi="Arial" w:cs="Arial"/>
                <w:sz w:val="20"/>
                <w:szCs w:val="20"/>
              </w:rPr>
              <w:t xml:space="preserve"> to clarify outstanding information and actions</w:t>
            </w:r>
            <w:r w:rsidR="00F9579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9C3252" w14:textId="2E2855D5" w:rsidR="004F35E0" w:rsidRDefault="00C41690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 responsible for managing the Talent Acquisition (careers@) inbox </w:t>
            </w:r>
            <w:r w:rsidR="00F95790">
              <w:rPr>
                <w:rFonts w:ascii="Arial" w:hAnsi="Arial" w:cs="Arial"/>
                <w:sz w:val="20"/>
                <w:szCs w:val="20"/>
              </w:rPr>
              <w:t>and</w:t>
            </w:r>
            <w:r w:rsidR="00340C32">
              <w:rPr>
                <w:rFonts w:ascii="Arial" w:hAnsi="Arial" w:cs="Arial"/>
                <w:sz w:val="20"/>
                <w:szCs w:val="20"/>
              </w:rPr>
              <w:t xml:space="preserve"> ensure a timely response for all stakeholders.</w:t>
            </w:r>
          </w:p>
          <w:p w14:paraId="65720512" w14:textId="0F1D225D" w:rsidR="00E433BC" w:rsidRDefault="00351C2D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 job adverts to MPS careers pages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Linkedin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liaise with</w:t>
            </w:r>
            <w:r w:rsidR="004B274A">
              <w:rPr>
                <w:rFonts w:ascii="Arial" w:hAnsi="Arial" w:cs="Arial"/>
                <w:sz w:val="20"/>
                <w:szCs w:val="20"/>
              </w:rPr>
              <w:t xml:space="preserve"> external job posting partners </w:t>
            </w:r>
            <w:r w:rsidR="00E433BC">
              <w:rPr>
                <w:rFonts w:ascii="Arial" w:hAnsi="Arial" w:cs="Arial"/>
                <w:sz w:val="20"/>
                <w:szCs w:val="20"/>
              </w:rPr>
              <w:t xml:space="preserve">to publish to other job boards. </w:t>
            </w:r>
          </w:p>
          <w:p w14:paraId="54C93A94" w14:textId="3AC330B3" w:rsidR="00803A90" w:rsidRPr="00803A90" w:rsidRDefault="00803A90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803A90">
              <w:rPr>
                <w:rFonts w:ascii="Arial" w:hAnsi="Arial" w:cs="Arial"/>
                <w:sz w:val="20"/>
                <w:szCs w:val="20"/>
              </w:rPr>
              <w:t>Liaise with Candidates and Managers to set up interviews on select roles and send invites to candidates and managers</w:t>
            </w:r>
          </w:p>
          <w:p w14:paraId="606ED8D9" w14:textId="6BBBF5C4" w:rsidR="002D7A4F" w:rsidRPr="002D7A4F" w:rsidRDefault="002D7A4F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2D7A4F">
              <w:rPr>
                <w:rFonts w:ascii="Arial" w:hAnsi="Arial" w:cs="Arial"/>
                <w:sz w:val="20"/>
                <w:szCs w:val="20"/>
              </w:rPr>
              <w:t>Ensure candidates have had feedback &amp; associated correspondence post-interview</w:t>
            </w:r>
            <w:r>
              <w:rPr>
                <w:rFonts w:ascii="Arial" w:hAnsi="Arial" w:cs="Arial"/>
                <w:sz w:val="20"/>
                <w:szCs w:val="20"/>
              </w:rPr>
              <w:t xml:space="preserve"> by monitoring candidate activity in the ATS and either directly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taking action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flagging to the relevant Hiring Manager or Talent Acquisition Specialist.</w:t>
            </w:r>
          </w:p>
          <w:p w14:paraId="4E31E04A" w14:textId="77777777" w:rsidR="00494B77" w:rsidRPr="00494B77" w:rsidRDefault="005876FE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94B77">
              <w:rPr>
                <w:rFonts w:ascii="Arial" w:hAnsi="Arial" w:cs="Arial"/>
                <w:sz w:val="20"/>
                <w:szCs w:val="20"/>
              </w:rPr>
              <w:t>Monitor and respond to Glassdoor and Indeed reviews to ensure MPS remains an attractive employe</w:t>
            </w:r>
            <w:r w:rsidR="00494B77" w:rsidRPr="00494B77">
              <w:rPr>
                <w:rFonts w:ascii="Arial" w:hAnsi="Arial" w:cs="Arial"/>
                <w:sz w:val="20"/>
                <w:szCs w:val="20"/>
              </w:rPr>
              <w:t xml:space="preserve">r of choice for candidates </w:t>
            </w:r>
          </w:p>
          <w:p w14:paraId="06AC5B41" w14:textId="7A7B1DB3" w:rsidR="00494B77" w:rsidRPr="00494B77" w:rsidRDefault="00494B77" w:rsidP="006505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494B77">
              <w:rPr>
                <w:rFonts w:ascii="Arial" w:hAnsi="Arial" w:cs="Arial"/>
                <w:sz w:val="20"/>
                <w:szCs w:val="20"/>
              </w:rPr>
              <w:t xml:space="preserve">Set up and support </w:t>
            </w:r>
            <w:r>
              <w:rPr>
                <w:rFonts w:ascii="Arial" w:hAnsi="Arial" w:cs="Arial"/>
                <w:sz w:val="20"/>
                <w:szCs w:val="20"/>
              </w:rPr>
              <w:t>volume-based</w:t>
            </w:r>
            <w:r w:rsidRPr="00494B77">
              <w:rPr>
                <w:rFonts w:ascii="Arial" w:hAnsi="Arial" w:cs="Arial"/>
                <w:sz w:val="20"/>
                <w:szCs w:val="20"/>
              </w:rPr>
              <w:t xml:space="preserve"> assessment centres and collate outcomes and feedback</w:t>
            </w:r>
          </w:p>
          <w:p w14:paraId="6DF6B726" w14:textId="1A077C19" w:rsidR="00650553" w:rsidRPr="006C0982" w:rsidRDefault="00650553" w:rsidP="006C09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C0982">
              <w:rPr>
                <w:rFonts w:ascii="Arial" w:hAnsi="Arial" w:cs="Arial"/>
                <w:sz w:val="20"/>
                <w:szCs w:val="20"/>
              </w:rPr>
              <w:t>Book rooms/parking where required for candidates</w:t>
            </w:r>
            <w:r w:rsidR="00927731" w:rsidRPr="006C0982">
              <w:rPr>
                <w:rFonts w:ascii="Arial" w:hAnsi="Arial" w:cs="Arial"/>
                <w:sz w:val="20"/>
                <w:szCs w:val="20"/>
              </w:rPr>
              <w:t>/visitors</w:t>
            </w:r>
          </w:p>
          <w:p w14:paraId="0461E61C" w14:textId="1413A04B" w:rsidR="00650553" w:rsidRPr="006C0982" w:rsidRDefault="00650553" w:rsidP="006C09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C0982">
              <w:rPr>
                <w:rFonts w:ascii="Arial" w:hAnsi="Arial" w:cs="Arial"/>
                <w:sz w:val="20"/>
                <w:szCs w:val="20"/>
              </w:rPr>
              <w:t xml:space="preserve">Collate </w:t>
            </w:r>
            <w:r w:rsidR="00927731" w:rsidRPr="006C0982">
              <w:rPr>
                <w:rFonts w:ascii="Arial" w:hAnsi="Arial" w:cs="Arial"/>
                <w:sz w:val="20"/>
                <w:szCs w:val="20"/>
              </w:rPr>
              <w:t xml:space="preserve">and process documentation relating </w:t>
            </w:r>
            <w:r w:rsidR="006C0982">
              <w:rPr>
                <w:rFonts w:ascii="Arial" w:hAnsi="Arial" w:cs="Arial"/>
                <w:sz w:val="20"/>
                <w:szCs w:val="20"/>
              </w:rPr>
              <w:t xml:space="preserve">to contractors. </w:t>
            </w:r>
          </w:p>
          <w:p w14:paraId="5BF0C634" w14:textId="4F526481" w:rsidR="00351C2D" w:rsidRPr="006C0982" w:rsidRDefault="00927731" w:rsidP="006C09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6C0982">
              <w:rPr>
                <w:rFonts w:ascii="Arial" w:hAnsi="Arial" w:cs="Arial"/>
                <w:sz w:val="20"/>
                <w:szCs w:val="20"/>
              </w:rPr>
              <w:t xml:space="preserve">Support with the documentation </w:t>
            </w:r>
            <w:r w:rsidR="006C0982" w:rsidRPr="006C0982">
              <w:rPr>
                <w:rFonts w:ascii="Arial" w:hAnsi="Arial" w:cs="Arial"/>
                <w:sz w:val="20"/>
                <w:szCs w:val="20"/>
              </w:rPr>
              <w:t xml:space="preserve">and onboarding of new agency partners. </w:t>
            </w:r>
          </w:p>
        </w:tc>
        <w:tc>
          <w:tcPr>
            <w:tcW w:w="3007" w:type="dxa"/>
          </w:tcPr>
          <w:p w14:paraId="3EF0A1A4" w14:textId="77777777" w:rsidR="004762DC" w:rsidRPr="004762DC" w:rsidRDefault="004762DC" w:rsidP="00362797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3075E7DF" w14:textId="77777777" w:rsidR="00624BC0" w:rsidRDefault="004762DC" w:rsidP="00362797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Division Plan delivery</w:t>
            </w:r>
            <w:r w:rsidR="003748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762DC">
              <w:rPr>
                <w:rFonts w:ascii="Arial" w:eastAsia="Calibri" w:hAnsi="Arial" w:cs="Arial"/>
                <w:sz w:val="20"/>
                <w:szCs w:val="20"/>
              </w:rPr>
              <w:t>Vs plan</w:t>
            </w:r>
          </w:p>
          <w:p w14:paraId="364D20F1" w14:textId="77777777" w:rsidR="00361A7E" w:rsidRDefault="00624BC0" w:rsidP="00362797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47F5899A" w14:textId="4300248C" w:rsidR="004762DC" w:rsidRPr="004762DC" w:rsidRDefault="00361A7E" w:rsidP="00362797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A31510">
              <w:rPr>
                <w:rFonts w:ascii="Arial" w:eastAsia="Calibri" w:hAnsi="Arial" w:cs="Arial"/>
                <w:sz w:val="20"/>
                <w:szCs w:val="20"/>
              </w:rPr>
              <w:t>People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service to agreed SLA’s</w:t>
            </w:r>
            <w:r w:rsidR="004762DC" w:rsidRPr="004762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1ACC0CC" w14:textId="77777777" w:rsidR="009E22D0" w:rsidRPr="00B75089" w:rsidRDefault="009E22D0" w:rsidP="0036279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D3DA908" w14:textId="77777777" w:rsidTr="00361A7E">
        <w:trPr>
          <w:trHeight w:val="1932"/>
        </w:trPr>
        <w:tc>
          <w:tcPr>
            <w:tcW w:w="7480" w:type="dxa"/>
          </w:tcPr>
          <w:p w14:paraId="34D1AB3F" w14:textId="77777777" w:rsidR="009E22D0" w:rsidRPr="00B75089" w:rsidRDefault="009E22D0" w:rsidP="00362797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AA35771" w14:textId="421DAB80" w:rsidR="004249E8" w:rsidRPr="004F35E0" w:rsidRDefault="00282AB3" w:rsidP="00362797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Support the production of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 xml:space="preserve"> metrics </w:t>
            </w:r>
            <w:r w:rsidR="009000D5" w:rsidRPr="004F35E0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 xml:space="preserve">organisational data sources to inform business decisions and actions which results in a measurable improvement in business performance and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 xml:space="preserve"> metric trends.</w:t>
            </w:r>
          </w:p>
          <w:p w14:paraId="175E75CD" w14:textId="13E1B788" w:rsidR="00FD2018" w:rsidRPr="004F35E0" w:rsidRDefault="00FD2018" w:rsidP="00362797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Ensure that all spend is managed within organisation policy</w:t>
            </w:r>
            <w:r w:rsidR="00624BC0" w:rsidRPr="004F35E0">
              <w:rPr>
                <w:rFonts w:ascii="Arial" w:hAnsi="Arial" w:cs="Arial"/>
                <w:sz w:val="20"/>
                <w:szCs w:val="20"/>
              </w:rPr>
              <w:t xml:space="preserve"> reporting on variance to budget to the </w:t>
            </w:r>
            <w:r w:rsidR="000E17A0">
              <w:rPr>
                <w:rFonts w:ascii="Arial" w:hAnsi="Arial" w:cs="Arial"/>
                <w:sz w:val="20"/>
                <w:szCs w:val="20"/>
              </w:rPr>
              <w:t>Talent Acquisition Lead</w:t>
            </w:r>
          </w:p>
          <w:p w14:paraId="1DD9F498" w14:textId="09F762CD" w:rsidR="004F35E0" w:rsidRPr="00560482" w:rsidRDefault="00803737" w:rsidP="00362797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Manage all transactions and tasks requested by the </w:t>
            </w:r>
            <w:r w:rsidR="000E17A0">
              <w:rPr>
                <w:rFonts w:ascii="Arial" w:hAnsi="Arial" w:cs="Arial"/>
                <w:sz w:val="20"/>
                <w:szCs w:val="20"/>
              </w:rPr>
              <w:t>TA team</w:t>
            </w:r>
            <w:r w:rsidRPr="004F35E0">
              <w:rPr>
                <w:rFonts w:ascii="Arial" w:hAnsi="Arial" w:cs="Arial"/>
                <w:sz w:val="20"/>
                <w:szCs w:val="20"/>
              </w:rPr>
              <w:t xml:space="preserve"> in accordance with polic</w:t>
            </w:r>
            <w:r w:rsidR="000D171B">
              <w:rPr>
                <w:rFonts w:ascii="Arial" w:hAnsi="Arial" w:cs="Arial"/>
                <w:sz w:val="20"/>
                <w:szCs w:val="20"/>
              </w:rPr>
              <w:t>y, ensuring Purchase Orders are raised promptly and traced</w:t>
            </w:r>
          </w:p>
        </w:tc>
        <w:tc>
          <w:tcPr>
            <w:tcW w:w="3007" w:type="dxa"/>
          </w:tcPr>
          <w:p w14:paraId="4D892AC2" w14:textId="77777777" w:rsidR="004762DC" w:rsidRDefault="004762DC" w:rsidP="0036279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23A2F84" w14:textId="77777777" w:rsidR="009E22D0" w:rsidRPr="00B75089" w:rsidRDefault="009E22D0" w:rsidP="00362797">
            <w:pPr>
              <w:pStyle w:val="ListParagraph"/>
              <w:spacing w:before="0" w:beforeAutospacing="0" w:after="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73A6DE9" w14:textId="77777777" w:rsidTr="00361A7E">
        <w:trPr>
          <w:trHeight w:val="578"/>
        </w:trPr>
        <w:tc>
          <w:tcPr>
            <w:tcW w:w="7480" w:type="dxa"/>
          </w:tcPr>
          <w:p w14:paraId="318A55B9" w14:textId="77777777" w:rsidR="004249E8" w:rsidRDefault="009E22D0" w:rsidP="00362797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3076E6E" w14:textId="392BE7C7" w:rsidR="009E22D0" w:rsidRPr="004F35E0" w:rsidRDefault="00B95E59" w:rsidP="0036279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 w:rsidR="004249E8" w:rsidRPr="004F35E0">
              <w:rPr>
                <w:rFonts w:ascii="Arial" w:hAnsi="Arial" w:cs="Arial"/>
                <w:sz w:val="20"/>
                <w:szCs w:val="20"/>
              </w:rPr>
              <w:t xml:space="preserve">emerging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4249E8" w:rsidRPr="004F35E0">
              <w:rPr>
                <w:rFonts w:ascii="Arial" w:hAnsi="Arial" w:cs="Arial"/>
                <w:sz w:val="20"/>
                <w:szCs w:val="20"/>
              </w:rPr>
              <w:t xml:space="preserve"> risks and issues arising from business activities which fail to deliver appropriate and consistent outcomes for members or are </w:t>
            </w:r>
            <w:r w:rsidR="004249E8" w:rsidRPr="004F35E0">
              <w:rPr>
                <w:rFonts w:ascii="Arial" w:hAnsi="Arial" w:cs="Arial"/>
                <w:sz w:val="20"/>
                <w:szCs w:val="20"/>
              </w:rPr>
              <w:lastRenderedPageBreak/>
              <w:t>likely to have a material adverse effect on the Group</w:t>
            </w:r>
            <w:r w:rsidR="004F35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42BBA" w14:textId="5CCDC961" w:rsidR="004F35E0" w:rsidRPr="00560482" w:rsidRDefault="00B95E59" w:rsidP="00362797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Provide support to the </w:t>
            </w:r>
            <w:r w:rsidR="00AB72DA">
              <w:rPr>
                <w:rFonts w:ascii="Arial" w:hAnsi="Arial" w:cs="Arial"/>
                <w:sz w:val="20"/>
                <w:szCs w:val="20"/>
              </w:rPr>
              <w:t>People</w:t>
            </w:r>
            <w:r w:rsidR="00560482" w:rsidRPr="00361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2797">
              <w:rPr>
                <w:rFonts w:ascii="Arial" w:hAnsi="Arial" w:cs="Arial"/>
                <w:sz w:val="20"/>
                <w:szCs w:val="20"/>
              </w:rPr>
              <w:t xml:space="preserve">Relations </w:t>
            </w:r>
            <w:r w:rsidR="00AB72DA">
              <w:rPr>
                <w:rFonts w:ascii="Arial" w:hAnsi="Arial" w:cs="Arial"/>
                <w:sz w:val="20"/>
                <w:szCs w:val="20"/>
              </w:rPr>
              <w:t>Specialists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 xml:space="preserve"> to ensure fair treatment and outcomes for </w:t>
            </w:r>
            <w:r w:rsidR="00560482" w:rsidRPr="00361A7E">
              <w:rPr>
                <w:rFonts w:ascii="Arial" w:hAnsi="Arial" w:cs="Arial"/>
                <w:sz w:val="20"/>
                <w:szCs w:val="20"/>
              </w:rPr>
              <w:t xml:space="preserve">colleagues and the organisation ensuring 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>compliance with associated policies.</w:t>
            </w:r>
          </w:p>
        </w:tc>
        <w:tc>
          <w:tcPr>
            <w:tcW w:w="3007" w:type="dxa"/>
          </w:tcPr>
          <w:p w14:paraId="59AE807F" w14:textId="77777777" w:rsidR="004762DC" w:rsidRDefault="004762DC" w:rsidP="0036279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lastRenderedPageBreak/>
              <w:t>Net promoter score</w:t>
            </w:r>
          </w:p>
          <w:p w14:paraId="168460C8" w14:textId="77777777" w:rsidR="00173737" w:rsidRPr="004762DC" w:rsidRDefault="00173737" w:rsidP="0036279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="009000D5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>
              <w:rPr>
                <w:rFonts w:ascii="Arial" w:hAnsi="Arial" w:cs="Arial"/>
                <w:sz w:val="20"/>
                <w:szCs w:val="20"/>
              </w:rPr>
              <w:t>audit results</w:t>
            </w:r>
          </w:p>
          <w:p w14:paraId="6F81878F" w14:textId="77777777" w:rsidR="009E22D0" w:rsidRPr="00B75089" w:rsidRDefault="009E22D0" w:rsidP="00362797">
            <w:pPr>
              <w:pStyle w:val="ListParagraph"/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C39E532" w14:textId="77777777" w:rsidTr="00361A7E">
        <w:trPr>
          <w:trHeight w:val="591"/>
        </w:trPr>
        <w:tc>
          <w:tcPr>
            <w:tcW w:w="7480" w:type="dxa"/>
          </w:tcPr>
          <w:p w14:paraId="77977250" w14:textId="713B31C4" w:rsidR="009E22D0" w:rsidRDefault="00362797" w:rsidP="00362797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08094BC5" w14:textId="77777777" w:rsidR="00753509" w:rsidRDefault="005C2F90" w:rsidP="00362797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560482">
              <w:rPr>
                <w:rFonts w:ascii="Arial" w:hAnsi="Arial" w:cs="Arial"/>
                <w:sz w:val="20"/>
                <w:szCs w:val="20"/>
              </w:rPr>
              <w:t xml:space="preserve">Promote positive employee relations and champion a community environment which enables the diversity </w:t>
            </w:r>
            <w:r w:rsidR="00560482">
              <w:rPr>
                <w:rFonts w:ascii="Arial" w:hAnsi="Arial" w:cs="Arial"/>
                <w:sz w:val="20"/>
                <w:szCs w:val="20"/>
              </w:rPr>
              <w:t>agenda, well</w:t>
            </w:r>
            <w:r w:rsidRPr="00560482">
              <w:rPr>
                <w:rFonts w:ascii="Arial" w:hAnsi="Arial" w:cs="Arial"/>
                <w:sz w:val="20"/>
                <w:szCs w:val="20"/>
              </w:rPr>
              <w:t xml:space="preserve">being of our colleagues and builds our reputation in the </w:t>
            </w:r>
            <w:proofErr w:type="gramStart"/>
            <w:r w:rsidRPr="00560482">
              <w:rPr>
                <w:rFonts w:ascii="Arial" w:hAnsi="Arial" w:cs="Arial"/>
                <w:sz w:val="20"/>
                <w:szCs w:val="20"/>
              </w:rPr>
              <w:t>market place</w:t>
            </w:r>
            <w:proofErr w:type="gramEnd"/>
            <w:r w:rsidRPr="00560482">
              <w:rPr>
                <w:rFonts w:ascii="Arial" w:hAnsi="Arial" w:cs="Arial"/>
                <w:sz w:val="20"/>
                <w:szCs w:val="20"/>
              </w:rPr>
              <w:t xml:space="preserve"> as a positive employer brand</w:t>
            </w:r>
            <w:r w:rsidR="00FD2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AC7CD6" w14:textId="77777777" w:rsidR="004F35E0" w:rsidRDefault="00173737" w:rsidP="00362797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</w:t>
            </w:r>
            <w:r w:rsidR="001D450E">
              <w:rPr>
                <w:rFonts w:ascii="Arial" w:hAnsi="Arial" w:cs="Arial"/>
                <w:sz w:val="20"/>
                <w:szCs w:val="20"/>
              </w:rPr>
              <w:t xml:space="preserve">of self and colleagues </w:t>
            </w:r>
            <w:r>
              <w:rPr>
                <w:rFonts w:ascii="Arial" w:hAnsi="Arial" w:cs="Arial"/>
                <w:sz w:val="20"/>
                <w:szCs w:val="20"/>
              </w:rPr>
              <w:t>ensuring clarity on own accountabilities and comply with all governance, policy standards and processes.</w:t>
            </w:r>
          </w:p>
          <w:p w14:paraId="5F3E0764" w14:textId="352320A6" w:rsidR="004F35E0" w:rsidRPr="00361A7E" w:rsidRDefault="004F35E0" w:rsidP="00362797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 xml:space="preserve">uild good working relationships with a range of Stakeholders and support the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 xml:space="preserve"> team in managing these stakeholder expectations.</w:t>
            </w:r>
          </w:p>
        </w:tc>
        <w:tc>
          <w:tcPr>
            <w:tcW w:w="3007" w:type="dxa"/>
          </w:tcPr>
          <w:p w14:paraId="69AE6583" w14:textId="77777777" w:rsidR="009E22D0" w:rsidRDefault="00173737" w:rsidP="00362797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27938CA" w14:textId="77777777" w:rsidR="00173737" w:rsidRDefault="00173737" w:rsidP="00362797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F84944B" w14:textId="77777777" w:rsidR="00173737" w:rsidRPr="00B75089" w:rsidRDefault="00173737" w:rsidP="00362797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87B799E" w14:textId="77777777" w:rsidTr="00361A7E">
        <w:trPr>
          <w:trHeight w:val="305"/>
        </w:trPr>
        <w:tc>
          <w:tcPr>
            <w:tcW w:w="7480" w:type="dxa"/>
          </w:tcPr>
          <w:p w14:paraId="541ABB34" w14:textId="77777777" w:rsidR="009E22D0" w:rsidRPr="00B75089" w:rsidRDefault="009E22D0" w:rsidP="00362797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208CA677" w14:textId="15D10F0F" w:rsidR="005817D2" w:rsidRDefault="00B95E59" w:rsidP="00362797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an environment where all colleagues in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 recognise the importance of risk identification and management </w:t>
            </w:r>
          </w:p>
          <w:p w14:paraId="4EDADE46" w14:textId="54C1843D" w:rsidR="004F35E0" w:rsidRPr="00560482" w:rsidRDefault="001D450E" w:rsidP="00362797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DA269B" w:rsidRPr="004F35E0">
              <w:rPr>
                <w:rFonts w:ascii="Arial" w:hAnsi="Arial" w:cs="Arial"/>
                <w:sz w:val="20"/>
                <w:szCs w:val="20"/>
              </w:rPr>
              <w:t xml:space="preserve">and report risks and issues identified within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="00DA269B" w:rsidRPr="004F35E0">
              <w:rPr>
                <w:rFonts w:ascii="Arial" w:hAnsi="Arial" w:cs="Arial"/>
                <w:sz w:val="20"/>
                <w:szCs w:val="20"/>
              </w:rPr>
              <w:t xml:space="preserve"> and across MPS to enable resolution and mitigation of potential impact on MPS, members and colleagues. </w:t>
            </w:r>
            <w:r w:rsidR="009000D5" w:rsidRPr="00560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14:paraId="3D8E025D" w14:textId="77777777" w:rsidR="004762DC" w:rsidRPr="004762DC" w:rsidRDefault="009E22D0" w:rsidP="0036279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Risk &amp; Control </w:t>
            </w:r>
            <w:r w:rsidR="004762DC">
              <w:rPr>
                <w:rFonts w:ascii="Arial" w:eastAsia="Calibri" w:hAnsi="Arial" w:cs="Arial"/>
                <w:sz w:val="20"/>
                <w:szCs w:val="20"/>
              </w:rPr>
              <w:t>Self- Assessment</w:t>
            </w:r>
          </w:p>
          <w:p w14:paraId="0BFD88F3" w14:textId="77777777" w:rsidR="004F35E0" w:rsidRPr="00B75089" w:rsidRDefault="004F35E0" w:rsidP="00362797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Divisional Audit Actions</w:t>
            </w:r>
          </w:p>
        </w:tc>
      </w:tr>
    </w:tbl>
    <w:p w14:paraId="53F563BC" w14:textId="77777777" w:rsidR="004F35E0" w:rsidRPr="00B75089" w:rsidRDefault="004F35E0" w:rsidP="0036279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4DDDF87" w14:textId="77777777" w:rsidTr="00361A7E">
        <w:trPr>
          <w:trHeight w:val="295"/>
        </w:trPr>
        <w:tc>
          <w:tcPr>
            <w:tcW w:w="10490" w:type="dxa"/>
            <w:shd w:val="clear" w:color="auto" w:fill="D9D9D9" w:themeFill="background1" w:themeFillShade="D9"/>
          </w:tcPr>
          <w:p w14:paraId="08000C20" w14:textId="77777777" w:rsidR="009E22D0" w:rsidRPr="00B75089" w:rsidRDefault="009E22D0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1CCD6E6" w14:textId="77777777" w:rsidTr="00FF16B8">
        <w:trPr>
          <w:trHeight w:val="693"/>
        </w:trPr>
        <w:tc>
          <w:tcPr>
            <w:tcW w:w="10490" w:type="dxa"/>
          </w:tcPr>
          <w:p w14:paraId="4ED4DE7D" w14:textId="77777777" w:rsidR="00282AB3" w:rsidRPr="00282AB3" w:rsidRDefault="00282AB3" w:rsidP="00362797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682DD6" w14:textId="77777777" w:rsidR="00282AB3" w:rsidRDefault="00282AB3" w:rsidP="00362797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AB3">
              <w:rPr>
                <w:rFonts w:ascii="Arial" w:hAnsi="Arial" w:cs="Arial"/>
                <w:sz w:val="20"/>
                <w:szCs w:val="20"/>
              </w:rPr>
              <w:t xml:space="preserve">To work to achieve close and harmonious relationships across the offices and departments in all aspects of the work, especially at the interface with other departments. </w:t>
            </w:r>
          </w:p>
          <w:p w14:paraId="52B34F12" w14:textId="1DE6075F" w:rsidR="009000D5" w:rsidRPr="00DE3969" w:rsidRDefault="009000D5" w:rsidP="00362797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 xml:space="preserve">As the HR risk landscape continually changes, keep abreast of evolving legislation and best practice; recommend opportunities for MPS to become more efficient and effective in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Pr="00DE3969">
              <w:rPr>
                <w:rFonts w:ascii="Arial" w:hAnsi="Arial" w:cs="Arial"/>
                <w:sz w:val="20"/>
                <w:szCs w:val="20"/>
              </w:rPr>
              <w:t xml:space="preserve"> practices</w:t>
            </w:r>
          </w:p>
          <w:p w14:paraId="43ED47B2" w14:textId="77777777" w:rsidR="00282AB3" w:rsidRDefault="009000D5" w:rsidP="00362797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00E44F8F" w14:textId="77777777" w:rsidR="004F35E0" w:rsidRPr="00560482" w:rsidRDefault="004F35E0" w:rsidP="00362797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D0701" w14:textId="77777777" w:rsidR="004F35E0" w:rsidRPr="00B75089" w:rsidRDefault="004F35E0" w:rsidP="0036279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587ACA3" w14:textId="77777777" w:rsidTr="00361A7E">
        <w:trPr>
          <w:trHeight w:val="181"/>
        </w:trPr>
        <w:tc>
          <w:tcPr>
            <w:tcW w:w="10490" w:type="dxa"/>
            <w:shd w:val="clear" w:color="auto" w:fill="D9D9D9" w:themeFill="background1" w:themeFillShade="D9"/>
          </w:tcPr>
          <w:p w14:paraId="1DE28150" w14:textId="77777777" w:rsidR="005542D1" w:rsidRPr="00B75089" w:rsidRDefault="005542D1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DAD372" w14:textId="77777777" w:rsidTr="00361A7E">
        <w:trPr>
          <w:trHeight w:val="428"/>
        </w:trPr>
        <w:tc>
          <w:tcPr>
            <w:tcW w:w="10490" w:type="dxa"/>
          </w:tcPr>
          <w:p w14:paraId="10F6A323" w14:textId="77777777" w:rsidR="00753509" w:rsidRDefault="00753509" w:rsidP="00362797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60DD38D9" w14:textId="79F1256E" w:rsidR="004F35E0" w:rsidRPr="004F35E0" w:rsidRDefault="00B95E59" w:rsidP="00362797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Management and coordination of </w:t>
            </w:r>
            <w:r w:rsidR="00362797">
              <w:rPr>
                <w:rFonts w:ascii="Arial" w:hAnsi="Arial" w:cs="Arial"/>
                <w:sz w:val="20"/>
                <w:szCs w:val="20"/>
              </w:rPr>
              <w:t>People</w:t>
            </w:r>
            <w:r w:rsidRPr="00361A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2AB3" w:rsidRPr="00361A7E">
              <w:rPr>
                <w:rFonts w:ascii="Arial" w:hAnsi="Arial" w:cs="Arial"/>
                <w:sz w:val="20"/>
                <w:szCs w:val="20"/>
              </w:rPr>
              <w:t xml:space="preserve">meetings and </w:t>
            </w:r>
            <w:r w:rsidRPr="00361A7E">
              <w:rPr>
                <w:rFonts w:ascii="Arial" w:hAnsi="Arial" w:cs="Arial"/>
                <w:sz w:val="20"/>
                <w:szCs w:val="20"/>
              </w:rPr>
              <w:t>committees</w:t>
            </w:r>
            <w:r w:rsidR="00361A7E" w:rsidRPr="00361A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EE847E" w14:textId="77777777" w:rsidR="004F35E0" w:rsidRPr="00B75089" w:rsidRDefault="004F35E0" w:rsidP="0036279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025B2D1" w14:textId="77777777" w:rsidTr="00361A7E">
        <w:trPr>
          <w:trHeight w:val="181"/>
        </w:trPr>
        <w:tc>
          <w:tcPr>
            <w:tcW w:w="6008" w:type="dxa"/>
            <w:shd w:val="clear" w:color="auto" w:fill="D9D9D9" w:themeFill="background1" w:themeFillShade="D9"/>
          </w:tcPr>
          <w:p w14:paraId="735DCBEF" w14:textId="77777777" w:rsidR="0056188D" w:rsidRPr="00B75089" w:rsidRDefault="00C91CFA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0657AD2" w14:textId="77777777" w:rsidR="0056188D" w:rsidRPr="00B75089" w:rsidRDefault="00C91CFA" w:rsidP="00362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070A1845" w14:textId="77777777" w:rsidTr="00FF16B8">
        <w:trPr>
          <w:trHeight w:val="211"/>
        </w:trPr>
        <w:tc>
          <w:tcPr>
            <w:tcW w:w="6008" w:type="dxa"/>
          </w:tcPr>
          <w:p w14:paraId="4149BE63" w14:textId="77777777" w:rsidR="0056188D" w:rsidRPr="00B75089" w:rsidRDefault="0056188D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519BA3A" w14:textId="77777777" w:rsidR="0056188D" w:rsidRPr="00B75089" w:rsidRDefault="00B95E59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3856794" w14:textId="77777777" w:rsidTr="00FF16B8">
        <w:trPr>
          <w:trHeight w:val="211"/>
        </w:trPr>
        <w:tc>
          <w:tcPr>
            <w:tcW w:w="6008" w:type="dxa"/>
          </w:tcPr>
          <w:p w14:paraId="2951B056" w14:textId="77777777" w:rsidR="004D18E8" w:rsidRPr="00B75089" w:rsidRDefault="004D18E8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3DE69F98" w14:textId="77777777" w:rsidR="004D18E8" w:rsidRPr="00B75089" w:rsidRDefault="005817D2" w:rsidP="003627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F4563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7553A16C" w14:textId="77777777" w:rsidTr="00FF16B8">
        <w:trPr>
          <w:trHeight w:val="211"/>
        </w:trPr>
        <w:tc>
          <w:tcPr>
            <w:tcW w:w="6008" w:type="dxa"/>
          </w:tcPr>
          <w:p w14:paraId="3FE37F0B" w14:textId="77777777" w:rsidR="004D18E8" w:rsidRPr="00B75089" w:rsidRDefault="004D18E8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58DA084" w14:textId="77777777" w:rsidR="004D18E8" w:rsidRPr="00B75089" w:rsidRDefault="005817D2" w:rsidP="00362797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DC604B6" w14:textId="77777777" w:rsidTr="00FF16B8">
        <w:trPr>
          <w:trHeight w:val="211"/>
        </w:trPr>
        <w:tc>
          <w:tcPr>
            <w:tcW w:w="6008" w:type="dxa"/>
          </w:tcPr>
          <w:p w14:paraId="2464924A" w14:textId="77777777" w:rsidR="004D18E8" w:rsidRPr="00B75089" w:rsidRDefault="004D18E8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414CE3A5" w14:textId="77777777" w:rsidR="004D18E8" w:rsidRPr="00B75089" w:rsidRDefault="005817D2" w:rsidP="00362797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7B2A5114" w14:textId="77777777" w:rsidTr="00FF16B8">
        <w:trPr>
          <w:trHeight w:val="211"/>
        </w:trPr>
        <w:tc>
          <w:tcPr>
            <w:tcW w:w="6008" w:type="dxa"/>
          </w:tcPr>
          <w:p w14:paraId="70AF96CD" w14:textId="77777777" w:rsidR="004D18E8" w:rsidRPr="00B75089" w:rsidRDefault="004D18E8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B392AC4" w14:textId="77777777" w:rsidR="004D18E8" w:rsidRPr="00B75089" w:rsidRDefault="005817D2" w:rsidP="00362797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5498902" w14:textId="77777777" w:rsidTr="00FF16B8">
        <w:trPr>
          <w:trHeight w:val="211"/>
        </w:trPr>
        <w:tc>
          <w:tcPr>
            <w:tcW w:w="6008" w:type="dxa"/>
          </w:tcPr>
          <w:p w14:paraId="21756F18" w14:textId="77777777" w:rsidR="004D18E8" w:rsidRPr="00B75089" w:rsidRDefault="004D18E8" w:rsidP="003627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133A4E4" w14:textId="77777777" w:rsidR="004D18E8" w:rsidRPr="00B75089" w:rsidRDefault="00560482" w:rsidP="00362797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ayout w:type="fixed"/>
        <w:tblLook w:val="04A0" w:firstRow="1" w:lastRow="0" w:firstColumn="1" w:lastColumn="0" w:noHBand="0" w:noVBand="1"/>
      </w:tblPr>
      <w:tblGrid>
        <w:gridCol w:w="460"/>
        <w:gridCol w:w="2058"/>
        <w:gridCol w:w="4536"/>
        <w:gridCol w:w="3402"/>
      </w:tblGrid>
      <w:tr w:rsidR="00FF16B8" w:rsidRPr="00B75089" w14:paraId="02593FDF" w14:textId="77777777" w:rsidTr="00580E7D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1119E4D3" w14:textId="77777777" w:rsidR="00E40AC5" w:rsidRPr="00B75089" w:rsidRDefault="00E40AC5" w:rsidP="00362797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296C36FD" w14:textId="77777777" w:rsidR="00E40AC5" w:rsidRPr="006326C0" w:rsidRDefault="001A22E9" w:rsidP="0036279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326C0">
              <w:rPr>
                <w:rFonts w:ascii="Arial" w:hAnsi="Arial" w:cs="Arial"/>
                <w:b/>
                <w:sz w:val="20"/>
                <w:szCs w:val="20"/>
              </w:rPr>
              <w:t>Knowledge and</w:t>
            </w:r>
            <w:r w:rsidR="0037486B" w:rsidRPr="006326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0AC5" w:rsidRPr="006326C0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7865490" w14:textId="77777777" w:rsidR="00E40AC5" w:rsidRPr="00B75089" w:rsidRDefault="00E40AC5" w:rsidP="00362797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766EB2F" w14:textId="77777777" w:rsidR="00E40AC5" w:rsidRPr="00B75089" w:rsidRDefault="00E40AC5" w:rsidP="00362797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75A59BA" w14:textId="77777777" w:rsidTr="00580E7D">
        <w:trPr>
          <w:cantSplit/>
          <w:trHeight w:val="328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4F400AA" w14:textId="77777777" w:rsidR="00E40AC5" w:rsidRPr="00B75089" w:rsidRDefault="00E40AC5" w:rsidP="00362797">
            <w:pPr>
              <w:spacing w:beforeAutospacing="0" w:after="0" w:afterAutospacing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058" w:type="dxa"/>
          </w:tcPr>
          <w:p w14:paraId="5EBF8B39" w14:textId="62C514D9" w:rsidR="004F35E0" w:rsidRPr="004F35E0" w:rsidRDefault="004F35E0" w:rsidP="00362797">
            <w:pPr>
              <w:pStyle w:val="ListParagraph"/>
              <w:numPr>
                <w:ilvl w:val="0"/>
                <w:numId w:val="18"/>
              </w:numPr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Proven practical work experience within an HR </w:t>
            </w:r>
            <w:r w:rsidR="00635335">
              <w:rPr>
                <w:rFonts w:ascii="Arial" w:eastAsia="Calibri" w:hAnsi="Arial" w:cs="Arial"/>
                <w:sz w:val="20"/>
                <w:szCs w:val="20"/>
              </w:rPr>
              <w:t>based rol</w:t>
            </w:r>
            <w:r w:rsidR="00FB226E">
              <w:rPr>
                <w:rFonts w:ascii="Arial" w:eastAsia="Calibri" w:hAnsi="Arial" w:cs="Arial"/>
                <w:sz w:val="20"/>
                <w:szCs w:val="20"/>
              </w:rPr>
              <w:t>e.</w:t>
            </w: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54CF11B" w14:textId="77777777" w:rsidR="004F35E0" w:rsidRPr="006326C0" w:rsidRDefault="004F35E0" w:rsidP="00362797">
            <w:pPr>
              <w:pStyle w:val="ListParagraph"/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CA8C20" w14:textId="77777777" w:rsidR="00E40AC5" w:rsidRPr="00DE3969" w:rsidRDefault="00E40AC5" w:rsidP="00362797">
            <w:p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C6E7015" w14:textId="6C78797F" w:rsidR="00DE3969" w:rsidRDefault="00DE3969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Word, Excel, Outlook and </w:t>
            </w:r>
            <w:r w:rsidR="0083672D" w:rsidRPr="004F35E0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79552419" w14:textId="4600B9D2" w:rsidR="0035668B" w:rsidRPr="004F35E0" w:rsidRDefault="0035668B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Excellent appreciation of </w:t>
            </w:r>
            <w:r w:rsidR="001C7262">
              <w:rPr>
                <w:rFonts w:ascii="Arial" w:eastAsia="Calibri" w:hAnsi="Arial" w:cs="Arial"/>
                <w:sz w:val="20"/>
                <w:szCs w:val="20"/>
              </w:rPr>
              <w:t>the importance of data and how it is used to inform decision making.</w:t>
            </w:r>
          </w:p>
          <w:p w14:paraId="23CEA1E8" w14:textId="77777777" w:rsidR="00282AB3" w:rsidRPr="004F35E0" w:rsidRDefault="00361A7E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Prioritise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work and manage multiple activities</w:t>
            </w:r>
          </w:p>
          <w:p w14:paraId="492617AC" w14:textId="77777777" w:rsidR="00282AB3" w:rsidRPr="004F35E0" w:rsidRDefault="00282AB3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interpersonal and written communication skills.</w:t>
            </w:r>
          </w:p>
          <w:p w14:paraId="55670BE2" w14:textId="77777777" w:rsidR="00282AB3" w:rsidRPr="004F35E0" w:rsidRDefault="00580E7D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Demonstrate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attention to detail 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 accuracy</w:t>
            </w:r>
          </w:p>
          <w:p w14:paraId="6D3FB43E" w14:textId="77777777" w:rsidR="00282AB3" w:rsidRPr="004F35E0" w:rsidRDefault="00580E7D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roblem solve and make informed decisions using own initiative. </w:t>
            </w:r>
          </w:p>
          <w:p w14:paraId="3FF291E1" w14:textId="77777777" w:rsidR="00282AB3" w:rsidRPr="004F35E0" w:rsidRDefault="00580E7D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andle confidential information with integrity</w:t>
            </w:r>
          </w:p>
          <w:p w14:paraId="57D3392E" w14:textId="77777777" w:rsidR="004F35E0" w:rsidRPr="004F35E0" w:rsidRDefault="004F35E0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organisational and diary management skills.</w:t>
            </w:r>
          </w:p>
          <w:p w14:paraId="5D458EBF" w14:textId="77777777" w:rsidR="00580E7D" w:rsidRPr="00580E7D" w:rsidRDefault="004249E8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High-energy work </w:t>
            </w:r>
            <w:r w:rsidR="00DE3969" w:rsidRPr="00580E7D">
              <w:rPr>
                <w:rFonts w:ascii="Arial" w:eastAsia="Calibri" w:hAnsi="Arial" w:cs="Arial"/>
                <w:sz w:val="20"/>
                <w:szCs w:val="20"/>
              </w:rPr>
              <w:t>ethic, ability to establish vision, drives change and delivers</w:t>
            </w: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 results.</w:t>
            </w:r>
          </w:p>
        </w:tc>
        <w:tc>
          <w:tcPr>
            <w:tcW w:w="3402" w:type="dxa"/>
          </w:tcPr>
          <w:p w14:paraId="50822AF3" w14:textId="2B9CAA2F" w:rsidR="00320867" w:rsidRPr="00320867" w:rsidRDefault="00320867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320867">
              <w:rPr>
                <w:rFonts w:ascii="Arial" w:eastAsia="Calibri" w:hAnsi="Arial" w:cs="Arial"/>
                <w:sz w:val="20"/>
                <w:szCs w:val="20"/>
              </w:rPr>
              <w:t xml:space="preserve">Experience of providing </w:t>
            </w:r>
            <w:r w:rsidR="005B29A6">
              <w:rPr>
                <w:rFonts w:ascii="Arial" w:eastAsia="Calibri" w:hAnsi="Arial" w:cs="Arial"/>
                <w:sz w:val="20"/>
                <w:szCs w:val="20"/>
              </w:rPr>
              <w:t>administrative</w:t>
            </w:r>
            <w:r w:rsidRPr="00320867">
              <w:rPr>
                <w:rFonts w:ascii="Arial" w:eastAsia="Calibri" w:hAnsi="Arial" w:cs="Arial"/>
                <w:sz w:val="20"/>
                <w:szCs w:val="20"/>
              </w:rPr>
              <w:t xml:space="preserve"> support </w:t>
            </w:r>
            <w:r w:rsidR="005B29A6">
              <w:rPr>
                <w:rFonts w:ascii="Arial" w:eastAsia="Calibri" w:hAnsi="Arial" w:cs="Arial"/>
                <w:sz w:val="20"/>
                <w:szCs w:val="20"/>
              </w:rPr>
              <w:t>within a HR environment</w:t>
            </w:r>
          </w:p>
          <w:p w14:paraId="2CB685E5" w14:textId="66E9DC5E" w:rsidR="004249E8" w:rsidRPr="006326C0" w:rsidRDefault="00DE3969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 xml:space="preserve">nowledge 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 xml:space="preserve">and application </w:t>
            </w:r>
            <w:r w:rsidR="007A32DC">
              <w:rPr>
                <w:rFonts w:ascii="Arial" w:eastAsia="Calibri" w:hAnsi="Arial" w:cs="Arial"/>
                <w:sz w:val="20"/>
                <w:szCs w:val="20"/>
              </w:rPr>
              <w:t xml:space="preserve">of Talent </w:t>
            </w:r>
            <w:r w:rsidR="00E47E7B">
              <w:rPr>
                <w:rFonts w:ascii="Arial" w:eastAsia="Calibri" w:hAnsi="Arial" w:cs="Arial"/>
                <w:sz w:val="20"/>
                <w:szCs w:val="20"/>
              </w:rPr>
              <w:t>Acquisition</w:t>
            </w:r>
            <w:r w:rsidR="007A32DC">
              <w:rPr>
                <w:rFonts w:ascii="Arial" w:eastAsia="Calibri" w:hAnsi="Arial" w:cs="Arial"/>
                <w:sz w:val="20"/>
                <w:szCs w:val="20"/>
              </w:rPr>
              <w:t xml:space="preserve"> principles and processes.</w:t>
            </w:r>
          </w:p>
          <w:p w14:paraId="0DB6C2C3" w14:textId="3FF90E01" w:rsidR="00782E3E" w:rsidRPr="007A32DC" w:rsidRDefault="00DE3969" w:rsidP="007A32DC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p-to-date knowledge of employment law,</w:t>
            </w:r>
            <w:r w:rsidR="0037486B" w:rsidRPr="006326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best practice, contemporary approaches and HR policies and procedures</w:t>
            </w:r>
            <w:r w:rsidR="0032086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FF16B8" w:rsidRPr="00B75089" w14:paraId="2ADBE22F" w14:textId="77777777" w:rsidTr="00580E7D">
        <w:trPr>
          <w:cantSplit/>
          <w:trHeight w:val="123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03118D4" w14:textId="77777777" w:rsidR="00E40AC5" w:rsidRPr="00B75089" w:rsidRDefault="00E40AC5" w:rsidP="00362797">
            <w:pPr>
              <w:spacing w:beforeAutospacing="0" w:after="0" w:afterAutospacing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58" w:type="dxa"/>
          </w:tcPr>
          <w:p w14:paraId="169231D8" w14:textId="45D677A7" w:rsidR="00E40AC5" w:rsidRPr="006326C0" w:rsidRDefault="00FB226E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CIPD level 3 or higher.</w:t>
            </w:r>
          </w:p>
        </w:tc>
        <w:tc>
          <w:tcPr>
            <w:tcW w:w="4536" w:type="dxa"/>
          </w:tcPr>
          <w:p w14:paraId="018EE11F" w14:textId="77777777" w:rsidR="00E40AC5" w:rsidRPr="006326C0" w:rsidRDefault="00E40AC5" w:rsidP="00362797">
            <w:pPr>
              <w:spacing w:before="100"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615F17D5" w14:textId="3CA101FD" w:rsidR="001A22E9" w:rsidRPr="006326C0" w:rsidRDefault="00B26176" w:rsidP="00362797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Experience of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Linkedin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 xml:space="preserve"> Recruiter</w:t>
            </w:r>
          </w:p>
          <w:p w14:paraId="753FC7AB" w14:textId="0FC1DCBA" w:rsidR="00320867" w:rsidRPr="007A32DC" w:rsidRDefault="00320867" w:rsidP="007A32DC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Knowledge of </w:t>
            </w:r>
            <w:proofErr w:type="spellStart"/>
            <w:r w:rsidR="00404FD9">
              <w:rPr>
                <w:rFonts w:ascii="Arial" w:eastAsia="Calibri" w:hAnsi="Arial" w:cs="Arial"/>
                <w:sz w:val="20"/>
                <w:szCs w:val="20"/>
              </w:rPr>
              <w:t>Tribepad</w:t>
            </w:r>
            <w:proofErr w:type="spellEnd"/>
            <w:r w:rsidR="00404FD9">
              <w:rPr>
                <w:rFonts w:ascii="Arial" w:eastAsia="Calibri" w:hAnsi="Arial" w:cs="Arial"/>
                <w:sz w:val="20"/>
                <w:szCs w:val="20"/>
              </w:rPr>
              <w:t xml:space="preserve"> ATS system</w:t>
            </w:r>
          </w:p>
        </w:tc>
      </w:tr>
    </w:tbl>
    <w:p w14:paraId="5080F0AD" w14:textId="77777777" w:rsidR="0056188D" w:rsidRPr="00B75089" w:rsidRDefault="0056188D" w:rsidP="00362797">
      <w:pPr>
        <w:spacing w:after="0"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9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8E011" w14:textId="77777777" w:rsidR="00471883" w:rsidRDefault="00471883" w:rsidP="009E22D0">
      <w:pPr>
        <w:spacing w:after="0" w:line="240" w:lineRule="auto"/>
      </w:pPr>
      <w:r>
        <w:separator/>
      </w:r>
    </w:p>
  </w:endnote>
  <w:endnote w:type="continuationSeparator" w:id="0">
    <w:p w14:paraId="60000DAC" w14:textId="77777777" w:rsidR="00471883" w:rsidRDefault="00471883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0C71" w14:textId="77777777" w:rsidR="00471883" w:rsidRDefault="00471883" w:rsidP="009E22D0">
      <w:pPr>
        <w:spacing w:after="0" w:line="240" w:lineRule="auto"/>
      </w:pPr>
      <w:r>
        <w:separator/>
      </w:r>
    </w:p>
  </w:footnote>
  <w:footnote w:type="continuationSeparator" w:id="0">
    <w:p w14:paraId="2C17DA7A" w14:textId="77777777" w:rsidR="00471883" w:rsidRDefault="00471883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5D6F" w14:textId="0A6239AA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A19CFBF" wp14:editId="7B43AF98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9DA"/>
    <w:multiLevelType w:val="hybridMultilevel"/>
    <w:tmpl w:val="33E0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3C0A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5A63"/>
    <w:multiLevelType w:val="hybridMultilevel"/>
    <w:tmpl w:val="A144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A2FA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6031"/>
    <w:multiLevelType w:val="hybridMultilevel"/>
    <w:tmpl w:val="F0D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C7976"/>
    <w:multiLevelType w:val="hybridMultilevel"/>
    <w:tmpl w:val="F6E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51E3B"/>
    <w:multiLevelType w:val="hybridMultilevel"/>
    <w:tmpl w:val="039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150CF"/>
    <w:multiLevelType w:val="hybridMultilevel"/>
    <w:tmpl w:val="C66245C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A3668"/>
    <w:multiLevelType w:val="hybridMultilevel"/>
    <w:tmpl w:val="2E64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64EA4"/>
    <w:multiLevelType w:val="hybridMultilevel"/>
    <w:tmpl w:val="6254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36678">
    <w:abstractNumId w:val="10"/>
  </w:num>
  <w:num w:numId="2" w16cid:durableId="1728605259">
    <w:abstractNumId w:val="0"/>
  </w:num>
  <w:num w:numId="3" w16cid:durableId="1738437316">
    <w:abstractNumId w:val="8"/>
  </w:num>
  <w:num w:numId="4" w16cid:durableId="1440443475">
    <w:abstractNumId w:val="6"/>
  </w:num>
  <w:num w:numId="5" w16cid:durableId="1893535457">
    <w:abstractNumId w:val="9"/>
  </w:num>
  <w:num w:numId="6" w16cid:durableId="1372538179">
    <w:abstractNumId w:val="3"/>
  </w:num>
  <w:num w:numId="7" w16cid:durableId="68037013">
    <w:abstractNumId w:val="12"/>
  </w:num>
  <w:num w:numId="8" w16cid:durableId="23215509">
    <w:abstractNumId w:val="16"/>
  </w:num>
  <w:num w:numId="9" w16cid:durableId="698432598">
    <w:abstractNumId w:val="19"/>
  </w:num>
  <w:num w:numId="10" w16cid:durableId="433552240">
    <w:abstractNumId w:val="13"/>
  </w:num>
  <w:num w:numId="11" w16cid:durableId="2019916620">
    <w:abstractNumId w:val="5"/>
  </w:num>
  <w:num w:numId="12" w16cid:durableId="1218084802">
    <w:abstractNumId w:val="14"/>
  </w:num>
  <w:num w:numId="13" w16cid:durableId="2146699968">
    <w:abstractNumId w:val="18"/>
  </w:num>
  <w:num w:numId="14" w16cid:durableId="973560994">
    <w:abstractNumId w:val="7"/>
  </w:num>
  <w:num w:numId="15" w16cid:durableId="578754759">
    <w:abstractNumId w:val="1"/>
  </w:num>
  <w:num w:numId="16" w16cid:durableId="578443237">
    <w:abstractNumId w:val="4"/>
  </w:num>
  <w:num w:numId="17" w16cid:durableId="338971520">
    <w:abstractNumId w:val="11"/>
  </w:num>
  <w:num w:numId="18" w16cid:durableId="579751699">
    <w:abstractNumId w:val="2"/>
  </w:num>
  <w:num w:numId="19" w16cid:durableId="2140343840">
    <w:abstractNumId w:val="6"/>
  </w:num>
  <w:num w:numId="20" w16cid:durableId="946961870">
    <w:abstractNumId w:val="17"/>
  </w:num>
  <w:num w:numId="21" w16cid:durableId="553391578">
    <w:abstractNumId w:val="21"/>
  </w:num>
  <w:num w:numId="22" w16cid:durableId="1881743083">
    <w:abstractNumId w:val="20"/>
  </w:num>
  <w:num w:numId="23" w16cid:durableId="19363548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04663"/>
    <w:rsid w:val="00051D2A"/>
    <w:rsid w:val="00064E73"/>
    <w:rsid w:val="00082F60"/>
    <w:rsid w:val="000939B2"/>
    <w:rsid w:val="000D171B"/>
    <w:rsid w:val="000E17A0"/>
    <w:rsid w:val="000E4361"/>
    <w:rsid w:val="000E46DF"/>
    <w:rsid w:val="000E5697"/>
    <w:rsid w:val="00173737"/>
    <w:rsid w:val="00173A8E"/>
    <w:rsid w:val="00175B28"/>
    <w:rsid w:val="001A22E9"/>
    <w:rsid w:val="001C7262"/>
    <w:rsid w:val="001D04BF"/>
    <w:rsid w:val="001D450E"/>
    <w:rsid w:val="00225D27"/>
    <w:rsid w:val="00263009"/>
    <w:rsid w:val="00282AB3"/>
    <w:rsid w:val="002B557F"/>
    <w:rsid w:val="002B731D"/>
    <w:rsid w:val="002D7A4F"/>
    <w:rsid w:val="0031136C"/>
    <w:rsid w:val="00320867"/>
    <w:rsid w:val="00333CFC"/>
    <w:rsid w:val="00340C32"/>
    <w:rsid w:val="00345823"/>
    <w:rsid w:val="00351C2D"/>
    <w:rsid w:val="0035668B"/>
    <w:rsid w:val="00361A7E"/>
    <w:rsid w:val="00362797"/>
    <w:rsid w:val="0037486B"/>
    <w:rsid w:val="0039480F"/>
    <w:rsid w:val="00404FD9"/>
    <w:rsid w:val="004249E8"/>
    <w:rsid w:val="00471883"/>
    <w:rsid w:val="004762DC"/>
    <w:rsid w:val="00492A18"/>
    <w:rsid w:val="00494B77"/>
    <w:rsid w:val="004B274A"/>
    <w:rsid w:val="004B45F1"/>
    <w:rsid w:val="004D18E8"/>
    <w:rsid w:val="004E680F"/>
    <w:rsid w:val="004F35E0"/>
    <w:rsid w:val="00500285"/>
    <w:rsid w:val="00511736"/>
    <w:rsid w:val="00514A08"/>
    <w:rsid w:val="00523E9A"/>
    <w:rsid w:val="00547094"/>
    <w:rsid w:val="005542D1"/>
    <w:rsid w:val="00560482"/>
    <w:rsid w:val="0056188D"/>
    <w:rsid w:val="00566B80"/>
    <w:rsid w:val="00580E7D"/>
    <w:rsid w:val="005817D2"/>
    <w:rsid w:val="005876FE"/>
    <w:rsid w:val="005977F1"/>
    <w:rsid w:val="005A16F5"/>
    <w:rsid w:val="005B29A6"/>
    <w:rsid w:val="005C2F90"/>
    <w:rsid w:val="00604E03"/>
    <w:rsid w:val="006219B1"/>
    <w:rsid w:val="00624BC0"/>
    <w:rsid w:val="00630E7C"/>
    <w:rsid w:val="006326C0"/>
    <w:rsid w:val="00635335"/>
    <w:rsid w:val="00650553"/>
    <w:rsid w:val="0065195C"/>
    <w:rsid w:val="0066567D"/>
    <w:rsid w:val="00666EB3"/>
    <w:rsid w:val="006C0982"/>
    <w:rsid w:val="00706E4D"/>
    <w:rsid w:val="00711E46"/>
    <w:rsid w:val="007153BC"/>
    <w:rsid w:val="00717094"/>
    <w:rsid w:val="0074443E"/>
    <w:rsid w:val="00753509"/>
    <w:rsid w:val="00753CED"/>
    <w:rsid w:val="00772DFF"/>
    <w:rsid w:val="00782E3E"/>
    <w:rsid w:val="007A32DC"/>
    <w:rsid w:val="007D6977"/>
    <w:rsid w:val="007E7CA1"/>
    <w:rsid w:val="00803737"/>
    <w:rsid w:val="00803A90"/>
    <w:rsid w:val="00813AEB"/>
    <w:rsid w:val="008143E3"/>
    <w:rsid w:val="00831E6E"/>
    <w:rsid w:val="0083672D"/>
    <w:rsid w:val="0086032D"/>
    <w:rsid w:val="008D63E0"/>
    <w:rsid w:val="009000D5"/>
    <w:rsid w:val="00927731"/>
    <w:rsid w:val="00973F8B"/>
    <w:rsid w:val="009B6289"/>
    <w:rsid w:val="009E22D0"/>
    <w:rsid w:val="009F2450"/>
    <w:rsid w:val="009F43E7"/>
    <w:rsid w:val="00A31510"/>
    <w:rsid w:val="00A4414A"/>
    <w:rsid w:val="00A764C8"/>
    <w:rsid w:val="00A95854"/>
    <w:rsid w:val="00AB72DA"/>
    <w:rsid w:val="00AC75DD"/>
    <w:rsid w:val="00AD5965"/>
    <w:rsid w:val="00B03B50"/>
    <w:rsid w:val="00B105AD"/>
    <w:rsid w:val="00B26176"/>
    <w:rsid w:val="00B26A55"/>
    <w:rsid w:val="00B57D06"/>
    <w:rsid w:val="00B748AD"/>
    <w:rsid w:val="00B75089"/>
    <w:rsid w:val="00B95E59"/>
    <w:rsid w:val="00C00F19"/>
    <w:rsid w:val="00C41690"/>
    <w:rsid w:val="00C50676"/>
    <w:rsid w:val="00C91CFA"/>
    <w:rsid w:val="00CE6CF7"/>
    <w:rsid w:val="00D271D1"/>
    <w:rsid w:val="00D40ED9"/>
    <w:rsid w:val="00D82BA6"/>
    <w:rsid w:val="00DA269B"/>
    <w:rsid w:val="00DE3969"/>
    <w:rsid w:val="00DF4563"/>
    <w:rsid w:val="00DF6ED9"/>
    <w:rsid w:val="00E00991"/>
    <w:rsid w:val="00E15FE3"/>
    <w:rsid w:val="00E40AC5"/>
    <w:rsid w:val="00E433BC"/>
    <w:rsid w:val="00E47512"/>
    <w:rsid w:val="00E47E7B"/>
    <w:rsid w:val="00E77188"/>
    <w:rsid w:val="00E97C44"/>
    <w:rsid w:val="00EB0E38"/>
    <w:rsid w:val="00ED19F9"/>
    <w:rsid w:val="00EF1C1F"/>
    <w:rsid w:val="00EF74B5"/>
    <w:rsid w:val="00F21709"/>
    <w:rsid w:val="00F5319A"/>
    <w:rsid w:val="00F94494"/>
    <w:rsid w:val="00F95790"/>
    <w:rsid w:val="00F97583"/>
    <w:rsid w:val="00FB226E"/>
    <w:rsid w:val="00FB4711"/>
    <w:rsid w:val="00FC6DE4"/>
    <w:rsid w:val="00FD2018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43592"/>
  <w15:docId w15:val="{3FA6833F-6828-4C56-86DC-5C361BF8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D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DC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6567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05592575-F208-4AE3-9130-9AEEF7C67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ECA72-96E0-4399-AC47-67361B10786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Confidential</dc:description>
  <cp:lastModifiedBy>Diane Beckett</cp:lastModifiedBy>
  <cp:revision>2</cp:revision>
  <dcterms:created xsi:type="dcterms:W3CDTF">2025-07-09T08:17:00Z</dcterms:created>
  <dcterms:modified xsi:type="dcterms:W3CDTF">2025-07-09T08:17:00Z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cf4f1b67-b0c5-41dd-9a24-cd9f3abdc3b6</vt:lpwstr>
  </property>
  <property fmtid="{D5CDD505-2E9C-101B-9397-08002B2CF9AE}" pid="3" name="bjSaver">
    <vt:lpwstr>EVN2lzhLIJ8UhePkEq2+h0ZgwSqLSSw2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