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48AF1A6F" w14:textId="77777777" w:rsidTr="00560482">
        <w:trPr>
          <w:trHeight w:val="265"/>
        </w:trPr>
        <w:tc>
          <w:tcPr>
            <w:tcW w:w="2127" w:type="dxa"/>
            <w:shd w:val="clear" w:color="auto" w:fill="D9D9D9" w:themeFill="background1" w:themeFillShade="D9"/>
          </w:tcPr>
          <w:p w14:paraId="0D63BF33" w14:textId="77777777" w:rsidR="00F5319A" w:rsidRPr="00B75089" w:rsidRDefault="00F5319A" w:rsidP="00560482">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46AAC0D9" w14:textId="77777777" w:rsidR="00F5319A" w:rsidRPr="00B75089" w:rsidRDefault="00D40ED9" w:rsidP="00560482">
            <w:pPr>
              <w:pStyle w:val="Header"/>
              <w:spacing w:after="0"/>
              <w:jc w:val="both"/>
              <w:rPr>
                <w:rFonts w:ascii="Arial" w:hAnsi="Arial" w:cs="Arial"/>
                <w:sz w:val="20"/>
                <w:szCs w:val="20"/>
              </w:rPr>
            </w:pPr>
            <w:r>
              <w:rPr>
                <w:rFonts w:ascii="Arial" w:hAnsi="Arial" w:cs="Arial"/>
                <w:sz w:val="20"/>
                <w:szCs w:val="20"/>
              </w:rPr>
              <w:t>People Policy and Advice Lead</w:t>
            </w:r>
          </w:p>
        </w:tc>
        <w:tc>
          <w:tcPr>
            <w:tcW w:w="1984" w:type="dxa"/>
            <w:shd w:val="clear" w:color="auto" w:fill="D9D9D9" w:themeFill="background1" w:themeFillShade="D9"/>
          </w:tcPr>
          <w:p w14:paraId="1FB51CF3" w14:textId="77777777" w:rsidR="00F5319A" w:rsidRPr="00B75089" w:rsidRDefault="00F5319A" w:rsidP="00560482">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02246123" w14:textId="77777777" w:rsidR="00F5319A" w:rsidRPr="00B75089" w:rsidRDefault="00D40ED9" w:rsidP="00560482">
            <w:pPr>
              <w:pStyle w:val="Header"/>
              <w:spacing w:after="0"/>
              <w:jc w:val="both"/>
              <w:rPr>
                <w:rFonts w:ascii="Arial" w:hAnsi="Arial" w:cs="Arial"/>
                <w:sz w:val="20"/>
                <w:szCs w:val="20"/>
              </w:rPr>
            </w:pPr>
            <w:r>
              <w:rPr>
                <w:rFonts w:ascii="Arial" w:hAnsi="Arial" w:cs="Arial"/>
                <w:sz w:val="20"/>
                <w:szCs w:val="20"/>
              </w:rPr>
              <w:t>Executive Director- People and Culture</w:t>
            </w:r>
          </w:p>
        </w:tc>
      </w:tr>
      <w:tr w:rsidR="00F5319A" w:rsidRPr="00B75089" w14:paraId="7217A6B7" w14:textId="77777777" w:rsidTr="00560482">
        <w:trPr>
          <w:trHeight w:val="278"/>
        </w:trPr>
        <w:tc>
          <w:tcPr>
            <w:tcW w:w="2127" w:type="dxa"/>
            <w:shd w:val="clear" w:color="auto" w:fill="D9D9D9" w:themeFill="background1" w:themeFillShade="D9"/>
          </w:tcPr>
          <w:p w14:paraId="0096004D" w14:textId="77777777" w:rsidR="00F5319A" w:rsidRPr="00B75089" w:rsidRDefault="00F5319A" w:rsidP="00560482">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15964AA4" w14:textId="77777777" w:rsidR="00F5319A" w:rsidRPr="00B75089" w:rsidRDefault="00D40ED9" w:rsidP="00560482">
            <w:pPr>
              <w:pStyle w:val="Header"/>
              <w:spacing w:after="0"/>
              <w:jc w:val="both"/>
              <w:rPr>
                <w:rFonts w:ascii="Arial" w:hAnsi="Arial" w:cs="Arial"/>
                <w:sz w:val="20"/>
                <w:szCs w:val="20"/>
              </w:rPr>
            </w:pPr>
            <w:r w:rsidRPr="00D40ED9">
              <w:rPr>
                <w:rFonts w:ascii="Arial" w:hAnsi="Arial" w:cs="Arial"/>
                <w:sz w:val="20"/>
                <w:szCs w:val="20"/>
              </w:rPr>
              <w:t>People and Culture</w:t>
            </w:r>
          </w:p>
        </w:tc>
        <w:tc>
          <w:tcPr>
            <w:tcW w:w="1984" w:type="dxa"/>
            <w:shd w:val="clear" w:color="auto" w:fill="D9D9D9" w:themeFill="background1" w:themeFillShade="D9"/>
          </w:tcPr>
          <w:p w14:paraId="41BA1FB0" w14:textId="77777777" w:rsidR="00F5319A" w:rsidRPr="00B75089" w:rsidRDefault="006219B1" w:rsidP="00560482">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1C5E8B6D" w14:textId="77777777" w:rsidR="00F5319A" w:rsidRPr="00B75089" w:rsidRDefault="00560482" w:rsidP="002973B4">
            <w:pPr>
              <w:pStyle w:val="Header"/>
              <w:spacing w:after="0"/>
              <w:jc w:val="both"/>
              <w:rPr>
                <w:rFonts w:ascii="Arial" w:hAnsi="Arial" w:cs="Arial"/>
                <w:sz w:val="20"/>
                <w:szCs w:val="20"/>
              </w:rPr>
            </w:pPr>
            <w:r>
              <w:rPr>
                <w:rFonts w:ascii="Arial" w:hAnsi="Arial" w:cs="Arial"/>
                <w:sz w:val="20"/>
                <w:szCs w:val="20"/>
              </w:rPr>
              <w:t>Policy, Governance and Advice</w:t>
            </w:r>
          </w:p>
        </w:tc>
      </w:tr>
      <w:tr w:rsidR="00F5319A" w:rsidRPr="00B75089" w14:paraId="74AF10B8" w14:textId="77777777" w:rsidTr="00560482">
        <w:trPr>
          <w:trHeight w:val="265"/>
        </w:trPr>
        <w:tc>
          <w:tcPr>
            <w:tcW w:w="2127" w:type="dxa"/>
            <w:vMerge w:val="restart"/>
            <w:shd w:val="clear" w:color="auto" w:fill="D9D9D9" w:themeFill="background1" w:themeFillShade="D9"/>
          </w:tcPr>
          <w:p w14:paraId="1063BDAF" w14:textId="77777777" w:rsidR="00F5319A" w:rsidRPr="00B75089" w:rsidRDefault="00F5319A" w:rsidP="00560482">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5D709825" w14:textId="77777777" w:rsidR="00F5319A" w:rsidRPr="00B75089" w:rsidRDefault="00D40ED9" w:rsidP="00560482">
            <w:pPr>
              <w:pStyle w:val="Header"/>
              <w:spacing w:after="0"/>
              <w:jc w:val="both"/>
              <w:rPr>
                <w:rFonts w:ascii="Arial" w:hAnsi="Arial" w:cs="Arial"/>
                <w:b/>
                <w:sz w:val="20"/>
                <w:szCs w:val="20"/>
              </w:rPr>
            </w:pPr>
            <w:r>
              <w:rPr>
                <w:rFonts w:ascii="Arial" w:hAnsi="Arial" w:cs="Arial"/>
                <w:sz w:val="20"/>
                <w:szCs w:val="20"/>
              </w:rPr>
              <w:t>6</w:t>
            </w:r>
            <w:r w:rsidR="00F5319A" w:rsidRPr="00B75089">
              <w:rPr>
                <w:rFonts w:ascii="Arial" w:hAnsi="Arial" w:cs="Arial"/>
                <w:sz w:val="20"/>
                <w:szCs w:val="20"/>
              </w:rPr>
              <w:t xml:space="preserve"> direct reports </w:t>
            </w:r>
          </w:p>
          <w:p w14:paraId="4389BEC6" w14:textId="77777777" w:rsidR="00F5319A" w:rsidRPr="00D40ED9" w:rsidRDefault="00D40ED9" w:rsidP="00560482">
            <w:pPr>
              <w:pStyle w:val="Header"/>
              <w:spacing w:after="0"/>
              <w:jc w:val="both"/>
              <w:rPr>
                <w:rFonts w:ascii="Arial" w:hAnsi="Arial" w:cs="Arial"/>
                <w:sz w:val="20"/>
                <w:szCs w:val="20"/>
              </w:rPr>
            </w:pPr>
            <w:r w:rsidRPr="00D40ED9">
              <w:rPr>
                <w:rFonts w:ascii="Arial" w:hAnsi="Arial" w:cs="Arial"/>
                <w:sz w:val="20"/>
                <w:szCs w:val="20"/>
              </w:rPr>
              <w:t>People and Culture Adviser</w:t>
            </w:r>
          </w:p>
          <w:p w14:paraId="16688B06" w14:textId="77777777" w:rsidR="00D40ED9" w:rsidRPr="00D40ED9" w:rsidRDefault="00D40ED9" w:rsidP="00560482">
            <w:pPr>
              <w:pStyle w:val="Header"/>
              <w:spacing w:after="0"/>
              <w:jc w:val="both"/>
              <w:rPr>
                <w:rFonts w:ascii="Arial" w:hAnsi="Arial" w:cs="Arial"/>
                <w:sz w:val="20"/>
                <w:szCs w:val="20"/>
              </w:rPr>
            </w:pPr>
            <w:r w:rsidRPr="00D40ED9">
              <w:rPr>
                <w:rFonts w:ascii="Arial" w:hAnsi="Arial" w:cs="Arial"/>
                <w:sz w:val="20"/>
                <w:szCs w:val="20"/>
              </w:rPr>
              <w:t>People Governance and Policy Assistant</w:t>
            </w:r>
          </w:p>
          <w:p w14:paraId="43AA1788" w14:textId="77777777" w:rsidR="00F5319A" w:rsidRPr="00D40ED9" w:rsidRDefault="00F5319A" w:rsidP="00560482">
            <w:pPr>
              <w:pStyle w:val="Header"/>
              <w:spacing w:after="0"/>
              <w:jc w:val="both"/>
              <w:rPr>
                <w:rFonts w:ascii="Arial" w:hAnsi="Arial" w:cs="Arial"/>
                <w:sz w:val="20"/>
                <w:szCs w:val="20"/>
              </w:rPr>
            </w:pPr>
          </w:p>
          <w:p w14:paraId="6F5598A4" w14:textId="77777777" w:rsidR="00F5319A" w:rsidRPr="00B75089" w:rsidRDefault="00F5319A" w:rsidP="00560482">
            <w:pPr>
              <w:pStyle w:val="Header"/>
              <w:spacing w:after="0"/>
              <w:jc w:val="both"/>
              <w:rPr>
                <w:rFonts w:ascii="Arial" w:hAnsi="Arial" w:cs="Arial"/>
                <w:sz w:val="20"/>
                <w:szCs w:val="20"/>
              </w:rPr>
            </w:pPr>
          </w:p>
        </w:tc>
        <w:tc>
          <w:tcPr>
            <w:tcW w:w="1984" w:type="dxa"/>
            <w:shd w:val="clear" w:color="auto" w:fill="D9D9D9" w:themeFill="background1" w:themeFillShade="D9"/>
          </w:tcPr>
          <w:p w14:paraId="41CDBC6C" w14:textId="77777777" w:rsidR="00F5319A" w:rsidRPr="00B75089" w:rsidRDefault="00F5319A" w:rsidP="00560482">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CC243FE" w14:textId="77777777" w:rsidR="00F5319A" w:rsidRDefault="00AF1D77" w:rsidP="00560482">
            <w:pPr>
              <w:pStyle w:val="Header"/>
              <w:numPr>
                <w:ilvl w:val="0"/>
                <w:numId w:val="13"/>
              </w:numPr>
              <w:spacing w:after="0"/>
              <w:jc w:val="both"/>
              <w:rPr>
                <w:rFonts w:ascii="Arial" w:hAnsi="Arial" w:cs="Arial"/>
                <w:sz w:val="20"/>
                <w:szCs w:val="20"/>
              </w:rPr>
            </w:pPr>
            <w:r>
              <w:rPr>
                <w:rFonts w:ascii="Arial" w:hAnsi="Arial" w:cs="Arial"/>
                <w:sz w:val="20"/>
                <w:szCs w:val="20"/>
              </w:rPr>
              <w:t>Policy and Advice – UK and International</w:t>
            </w:r>
          </w:p>
          <w:p w14:paraId="13B72910" w14:textId="77777777" w:rsidR="00B75089" w:rsidRPr="00B75089" w:rsidRDefault="00566B80" w:rsidP="00560482">
            <w:pPr>
              <w:pStyle w:val="Header"/>
              <w:numPr>
                <w:ilvl w:val="0"/>
                <w:numId w:val="13"/>
              </w:numPr>
              <w:spacing w:after="0"/>
              <w:jc w:val="both"/>
              <w:rPr>
                <w:rFonts w:ascii="Arial" w:hAnsi="Arial" w:cs="Arial"/>
                <w:sz w:val="20"/>
                <w:szCs w:val="20"/>
              </w:rPr>
            </w:pPr>
            <w:r>
              <w:rPr>
                <w:rFonts w:ascii="Arial" w:hAnsi="Arial" w:cs="Arial"/>
                <w:sz w:val="20"/>
                <w:szCs w:val="20"/>
              </w:rPr>
              <w:t xml:space="preserve">People Business Partner support for Finance, Risk and Compliance and Digital and Change </w:t>
            </w:r>
          </w:p>
        </w:tc>
      </w:tr>
      <w:tr w:rsidR="00F5319A" w:rsidRPr="00B75089" w14:paraId="1374E1EE" w14:textId="77777777" w:rsidTr="00560482">
        <w:trPr>
          <w:trHeight w:val="350"/>
        </w:trPr>
        <w:tc>
          <w:tcPr>
            <w:tcW w:w="2127" w:type="dxa"/>
            <w:vMerge/>
            <w:shd w:val="clear" w:color="auto" w:fill="D9D9D9" w:themeFill="background1" w:themeFillShade="D9"/>
          </w:tcPr>
          <w:p w14:paraId="7B214EBD" w14:textId="77777777" w:rsidR="00F5319A" w:rsidRPr="00B75089" w:rsidRDefault="00F5319A" w:rsidP="00560482">
            <w:pPr>
              <w:pStyle w:val="Header"/>
              <w:spacing w:after="0"/>
              <w:ind w:left="-11"/>
              <w:jc w:val="both"/>
              <w:rPr>
                <w:rFonts w:ascii="Arial" w:hAnsi="Arial" w:cs="Arial"/>
                <w:b/>
                <w:sz w:val="20"/>
                <w:szCs w:val="20"/>
              </w:rPr>
            </w:pPr>
          </w:p>
        </w:tc>
        <w:tc>
          <w:tcPr>
            <w:tcW w:w="3119" w:type="dxa"/>
            <w:vMerge/>
          </w:tcPr>
          <w:p w14:paraId="47D69814" w14:textId="77777777" w:rsidR="00F5319A" w:rsidRPr="00B75089" w:rsidRDefault="00F5319A" w:rsidP="00560482">
            <w:pPr>
              <w:pStyle w:val="Header"/>
              <w:spacing w:after="0"/>
              <w:jc w:val="both"/>
              <w:rPr>
                <w:rFonts w:ascii="Arial" w:hAnsi="Arial" w:cs="Arial"/>
                <w:sz w:val="20"/>
                <w:szCs w:val="20"/>
              </w:rPr>
            </w:pPr>
          </w:p>
        </w:tc>
        <w:tc>
          <w:tcPr>
            <w:tcW w:w="1984" w:type="dxa"/>
            <w:shd w:val="clear" w:color="auto" w:fill="D9D9D9" w:themeFill="background1" w:themeFillShade="D9"/>
          </w:tcPr>
          <w:p w14:paraId="0E951501" w14:textId="77777777" w:rsidR="00F5319A" w:rsidRPr="00B75089" w:rsidRDefault="00F5319A" w:rsidP="00560482">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085383C2" w14:textId="77777777" w:rsidR="00F5319A" w:rsidRPr="00B75089" w:rsidRDefault="00D40ED9" w:rsidP="00560482">
            <w:pPr>
              <w:pStyle w:val="Header"/>
              <w:spacing w:after="0"/>
              <w:jc w:val="both"/>
              <w:rPr>
                <w:rFonts w:ascii="Arial" w:hAnsi="Arial" w:cs="Arial"/>
                <w:sz w:val="20"/>
                <w:szCs w:val="20"/>
              </w:rPr>
            </w:pPr>
            <w:r>
              <w:rPr>
                <w:rFonts w:ascii="Arial" w:hAnsi="Arial" w:cs="Arial"/>
                <w:sz w:val="20"/>
                <w:szCs w:val="20"/>
              </w:rPr>
              <w:t>6</w:t>
            </w:r>
            <w:r w:rsidR="00F5319A" w:rsidRPr="00B75089">
              <w:rPr>
                <w:rFonts w:ascii="Arial" w:hAnsi="Arial" w:cs="Arial"/>
                <w:sz w:val="20"/>
                <w:szCs w:val="20"/>
              </w:rPr>
              <w:t xml:space="preserve"> People</w:t>
            </w:r>
          </w:p>
          <w:p w14:paraId="06F26C64" w14:textId="77777777" w:rsidR="00F5319A" w:rsidRPr="00B75089" w:rsidRDefault="00F5319A" w:rsidP="00560482">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Budget</w:t>
            </w:r>
          </w:p>
          <w:p w14:paraId="1D34F3AC" w14:textId="0CA997F4" w:rsidR="00F5319A" w:rsidRPr="00B75089" w:rsidRDefault="00F5319A" w:rsidP="00560482">
            <w:pPr>
              <w:pStyle w:val="Header"/>
              <w:spacing w:after="0"/>
              <w:jc w:val="both"/>
              <w:rPr>
                <w:rFonts w:ascii="Arial" w:hAnsi="Arial" w:cs="Arial"/>
                <w:sz w:val="20"/>
                <w:szCs w:val="20"/>
              </w:rPr>
            </w:pPr>
          </w:p>
        </w:tc>
      </w:tr>
      <w:tr w:rsidR="00F5319A" w:rsidRPr="00B75089" w14:paraId="2B1E3F95" w14:textId="77777777" w:rsidTr="00560482">
        <w:trPr>
          <w:trHeight w:val="381"/>
        </w:trPr>
        <w:tc>
          <w:tcPr>
            <w:tcW w:w="2127" w:type="dxa"/>
            <w:vMerge/>
            <w:shd w:val="clear" w:color="auto" w:fill="D9D9D9" w:themeFill="background1" w:themeFillShade="D9"/>
          </w:tcPr>
          <w:p w14:paraId="060C3624" w14:textId="77777777" w:rsidR="00F5319A" w:rsidRPr="00B75089" w:rsidRDefault="00F5319A" w:rsidP="00560482">
            <w:pPr>
              <w:pStyle w:val="Header"/>
              <w:spacing w:after="0"/>
              <w:ind w:left="-11"/>
              <w:jc w:val="both"/>
              <w:rPr>
                <w:rFonts w:ascii="Arial" w:hAnsi="Arial" w:cs="Arial"/>
                <w:b/>
                <w:sz w:val="20"/>
                <w:szCs w:val="20"/>
              </w:rPr>
            </w:pPr>
          </w:p>
        </w:tc>
        <w:tc>
          <w:tcPr>
            <w:tcW w:w="3119" w:type="dxa"/>
            <w:vMerge/>
          </w:tcPr>
          <w:p w14:paraId="1D85ABEB" w14:textId="77777777" w:rsidR="00F5319A" w:rsidRPr="00B75089" w:rsidRDefault="00F5319A" w:rsidP="00560482">
            <w:pPr>
              <w:pStyle w:val="Header"/>
              <w:spacing w:after="0"/>
              <w:jc w:val="both"/>
              <w:rPr>
                <w:rFonts w:ascii="Arial" w:hAnsi="Arial" w:cs="Arial"/>
                <w:sz w:val="20"/>
                <w:szCs w:val="20"/>
              </w:rPr>
            </w:pPr>
          </w:p>
        </w:tc>
        <w:tc>
          <w:tcPr>
            <w:tcW w:w="1984" w:type="dxa"/>
            <w:shd w:val="clear" w:color="auto" w:fill="D9D9D9" w:themeFill="background1" w:themeFillShade="D9"/>
          </w:tcPr>
          <w:p w14:paraId="2C2109A0" w14:textId="77777777" w:rsidR="00F5319A" w:rsidRPr="00B75089" w:rsidRDefault="007E7CA1" w:rsidP="00560482">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A7AFBE5" w14:textId="77777777" w:rsidR="00F5319A" w:rsidRPr="00B75089" w:rsidRDefault="00D40ED9" w:rsidP="00560482">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7700EC96" w14:textId="77777777" w:rsidTr="00560482">
        <w:trPr>
          <w:trHeight w:val="270"/>
        </w:trPr>
        <w:tc>
          <w:tcPr>
            <w:tcW w:w="2127" w:type="dxa"/>
            <w:shd w:val="clear" w:color="auto" w:fill="D9D9D9" w:themeFill="background1" w:themeFillShade="D9"/>
          </w:tcPr>
          <w:p w14:paraId="427A043B" w14:textId="77777777" w:rsidR="007E7CA1" w:rsidRPr="00B75089" w:rsidRDefault="007E7CA1" w:rsidP="00560482">
            <w:pPr>
              <w:pStyle w:val="Header"/>
              <w:spacing w:after="0"/>
              <w:ind w:left="-11"/>
              <w:jc w:val="both"/>
              <w:rPr>
                <w:rFonts w:ascii="Arial" w:hAnsi="Arial" w:cs="Arial"/>
                <w:b/>
                <w:sz w:val="20"/>
                <w:szCs w:val="20"/>
              </w:rPr>
            </w:pPr>
            <w:r w:rsidRPr="00B75089">
              <w:rPr>
                <w:rFonts w:ascii="Arial" w:hAnsi="Arial" w:cs="Arial"/>
                <w:b/>
                <w:sz w:val="20"/>
                <w:szCs w:val="20"/>
              </w:rPr>
              <w:t>Evaluation Level</w:t>
            </w:r>
          </w:p>
        </w:tc>
        <w:tc>
          <w:tcPr>
            <w:tcW w:w="3119" w:type="dxa"/>
          </w:tcPr>
          <w:p w14:paraId="5E0121C0" w14:textId="77777777" w:rsidR="007E7CA1" w:rsidRPr="00B75089" w:rsidRDefault="00D40ED9" w:rsidP="00560482">
            <w:pPr>
              <w:pStyle w:val="Header"/>
              <w:spacing w:after="0"/>
              <w:jc w:val="both"/>
              <w:rPr>
                <w:rFonts w:ascii="Arial" w:hAnsi="Arial" w:cs="Arial"/>
                <w:sz w:val="20"/>
                <w:szCs w:val="20"/>
              </w:rPr>
            </w:pPr>
            <w:r>
              <w:rPr>
                <w:rFonts w:ascii="Arial" w:hAnsi="Arial" w:cs="Arial"/>
                <w:sz w:val="20"/>
                <w:szCs w:val="20"/>
              </w:rPr>
              <w:t>Implement</w:t>
            </w:r>
          </w:p>
        </w:tc>
        <w:tc>
          <w:tcPr>
            <w:tcW w:w="1984" w:type="dxa"/>
            <w:shd w:val="clear" w:color="auto" w:fill="D9D9D9" w:themeFill="background1" w:themeFillShade="D9"/>
          </w:tcPr>
          <w:p w14:paraId="6C78A62D" w14:textId="77777777" w:rsidR="007E7CA1" w:rsidRPr="00B75089" w:rsidRDefault="007E7CA1" w:rsidP="00560482">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6B8C0DF9" w14:textId="7EAEA2D4" w:rsidR="007E7CA1" w:rsidRPr="00B75089" w:rsidRDefault="00076434" w:rsidP="00560482">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w:t>
            </w:r>
          </w:p>
        </w:tc>
      </w:tr>
    </w:tbl>
    <w:p w14:paraId="79811C51" w14:textId="77777777" w:rsidR="00F5319A" w:rsidRPr="00B75089" w:rsidRDefault="00F5319A" w:rsidP="00560482">
      <w:pPr>
        <w:spacing w:after="0" w:line="240" w:lineRule="auto"/>
        <w:jc w:val="both"/>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7A7F5F76" w14:textId="77777777" w:rsidTr="009E22D0">
        <w:trPr>
          <w:trHeight w:val="456"/>
        </w:trPr>
        <w:tc>
          <w:tcPr>
            <w:tcW w:w="10509" w:type="dxa"/>
            <w:shd w:val="clear" w:color="auto" w:fill="D9D9D9" w:themeFill="background1" w:themeFillShade="D9"/>
          </w:tcPr>
          <w:p w14:paraId="692849EE"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p>
          <w:p w14:paraId="49A92F10"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Overall Role Purpose</w:t>
            </w:r>
          </w:p>
        </w:tc>
      </w:tr>
      <w:tr w:rsidR="009E22D0" w:rsidRPr="00B75089" w14:paraId="1A737860" w14:textId="77777777" w:rsidTr="009E22D0">
        <w:trPr>
          <w:trHeight w:val="693"/>
        </w:trPr>
        <w:tc>
          <w:tcPr>
            <w:tcW w:w="10509" w:type="dxa"/>
          </w:tcPr>
          <w:p w14:paraId="037E2C3B" w14:textId="77777777" w:rsidR="00D40ED9" w:rsidRPr="00B75089" w:rsidRDefault="00F97583" w:rsidP="008D63E0">
            <w:pPr>
              <w:spacing w:after="0" w:line="240" w:lineRule="auto"/>
              <w:jc w:val="both"/>
              <w:rPr>
                <w:rFonts w:ascii="Arial" w:hAnsi="Arial" w:cs="Arial"/>
                <w:i/>
                <w:sz w:val="20"/>
                <w:szCs w:val="20"/>
              </w:rPr>
            </w:pPr>
            <w:r w:rsidRPr="008D63E0">
              <w:rPr>
                <w:rFonts w:ascii="Arial" w:hAnsi="Arial" w:cs="Arial"/>
                <w:sz w:val="20"/>
                <w:szCs w:val="20"/>
              </w:rPr>
              <w:t xml:space="preserve">As a member of the People and Culture leadership team, the People Policy and Advice Lead will provide leadership and critical thinking on the UK and International employee relations agenda including ensuring effective engagement with colleagues, management of people policies, governance and monitoring of People risk to the business to ensure the business remains compliant and within agreed People risk appetite. </w:t>
            </w:r>
          </w:p>
        </w:tc>
      </w:tr>
    </w:tbl>
    <w:p w14:paraId="5ADDC367" w14:textId="77777777" w:rsidR="009E22D0" w:rsidRPr="00B75089" w:rsidRDefault="009E22D0" w:rsidP="00560482">
      <w:pPr>
        <w:spacing w:after="0" w:line="240" w:lineRule="auto"/>
        <w:jc w:val="both"/>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57A9FC56" w14:textId="77777777" w:rsidTr="009E22D0">
        <w:trPr>
          <w:trHeight w:val="310"/>
        </w:trPr>
        <w:tc>
          <w:tcPr>
            <w:tcW w:w="6346" w:type="dxa"/>
            <w:shd w:val="clear" w:color="auto" w:fill="D9D9D9" w:themeFill="background1" w:themeFillShade="D9"/>
          </w:tcPr>
          <w:p w14:paraId="089E4008"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A0B1ED1" w14:textId="77777777" w:rsidR="009E22D0" w:rsidRPr="00B75089" w:rsidRDefault="009E22D0" w:rsidP="005A7864">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Measures of Success/KPI’s</w:t>
            </w:r>
          </w:p>
        </w:tc>
      </w:tr>
      <w:tr w:rsidR="009E22D0" w:rsidRPr="00B75089" w14:paraId="5E05F3C2" w14:textId="77777777" w:rsidTr="009E22D0">
        <w:trPr>
          <w:trHeight w:val="578"/>
        </w:trPr>
        <w:tc>
          <w:tcPr>
            <w:tcW w:w="6346" w:type="dxa"/>
          </w:tcPr>
          <w:p w14:paraId="2F4242DD" w14:textId="77777777" w:rsidR="0056188D" w:rsidRDefault="0056188D" w:rsidP="00560482">
            <w:pPr>
              <w:spacing w:after="0" w:line="240" w:lineRule="auto"/>
              <w:jc w:val="both"/>
              <w:rPr>
                <w:rFonts w:ascii="Arial" w:eastAsia="Calibri" w:hAnsi="Arial" w:cs="Arial"/>
                <w:b/>
                <w:sz w:val="20"/>
                <w:szCs w:val="20"/>
                <w:lang w:eastAsia="en-US"/>
              </w:rPr>
            </w:pPr>
            <w:r w:rsidRPr="00B75089">
              <w:rPr>
                <w:rFonts w:ascii="Arial" w:eastAsia="Calibri" w:hAnsi="Arial" w:cs="Arial"/>
                <w:b/>
                <w:sz w:val="20"/>
                <w:szCs w:val="20"/>
                <w:lang w:eastAsia="en-US"/>
              </w:rPr>
              <w:t>Operational Leadership</w:t>
            </w:r>
          </w:p>
          <w:p w14:paraId="1C0BE70A" w14:textId="77777777" w:rsidR="00D40ED9" w:rsidRPr="00560482" w:rsidRDefault="00D40ED9" w:rsidP="005A7864">
            <w:pPr>
              <w:pStyle w:val="ListParagraph"/>
              <w:numPr>
                <w:ilvl w:val="0"/>
                <w:numId w:val="14"/>
              </w:numPr>
              <w:spacing w:before="0" w:beforeAutospacing="0" w:after="0" w:afterAutospacing="0"/>
              <w:ind w:left="283"/>
              <w:jc w:val="both"/>
              <w:rPr>
                <w:rFonts w:ascii="Arial" w:hAnsi="Arial" w:cs="Arial"/>
                <w:sz w:val="20"/>
                <w:szCs w:val="20"/>
              </w:rPr>
            </w:pPr>
            <w:r w:rsidRPr="00560482">
              <w:rPr>
                <w:rFonts w:ascii="Arial" w:hAnsi="Arial" w:cs="Arial"/>
                <w:sz w:val="20"/>
                <w:szCs w:val="20"/>
              </w:rPr>
              <w:t xml:space="preserve">Provide leadership across </w:t>
            </w:r>
            <w:r w:rsidR="00F97583" w:rsidRPr="00560482">
              <w:rPr>
                <w:rFonts w:ascii="Arial" w:hAnsi="Arial" w:cs="Arial"/>
                <w:sz w:val="20"/>
                <w:szCs w:val="20"/>
              </w:rPr>
              <w:t>the People and Culture division</w:t>
            </w:r>
            <w:r w:rsidRPr="00560482">
              <w:rPr>
                <w:rFonts w:ascii="Arial" w:hAnsi="Arial" w:cs="Arial"/>
                <w:sz w:val="20"/>
                <w:szCs w:val="20"/>
              </w:rPr>
              <w:t xml:space="preserve"> </w:t>
            </w:r>
            <w:r w:rsidR="00F97583" w:rsidRPr="00560482">
              <w:rPr>
                <w:rFonts w:ascii="Arial" w:hAnsi="Arial" w:cs="Arial"/>
                <w:sz w:val="20"/>
                <w:szCs w:val="20"/>
              </w:rPr>
              <w:t xml:space="preserve">and in particular Policy and Advice team </w:t>
            </w:r>
            <w:r w:rsidRPr="00560482">
              <w:rPr>
                <w:rFonts w:ascii="Arial" w:hAnsi="Arial" w:cs="Arial"/>
                <w:sz w:val="20"/>
                <w:szCs w:val="20"/>
              </w:rPr>
              <w:t>to deliver on the overall corporate strategy, business performance, leadership of teams that reinforces the desired culture and delivery of strategic priorities.</w:t>
            </w:r>
          </w:p>
          <w:p w14:paraId="0FAB1A71" w14:textId="77777777" w:rsidR="00D40ED9" w:rsidRPr="00560482" w:rsidRDefault="00D40ED9" w:rsidP="005A7864">
            <w:pPr>
              <w:pStyle w:val="ListParagraph"/>
              <w:numPr>
                <w:ilvl w:val="0"/>
                <w:numId w:val="14"/>
              </w:numPr>
              <w:spacing w:after="0"/>
              <w:ind w:left="283"/>
              <w:jc w:val="both"/>
              <w:rPr>
                <w:rFonts w:ascii="Arial" w:hAnsi="Arial" w:cs="Arial"/>
                <w:sz w:val="20"/>
                <w:szCs w:val="20"/>
              </w:rPr>
            </w:pPr>
            <w:r w:rsidRPr="00560482">
              <w:rPr>
                <w:rFonts w:ascii="Arial" w:hAnsi="Arial" w:cs="Arial"/>
                <w:sz w:val="20"/>
                <w:szCs w:val="20"/>
              </w:rPr>
              <w:t xml:space="preserve">Contribute to the development and delivery of the </w:t>
            </w:r>
            <w:r w:rsidR="00F97583" w:rsidRPr="00560482">
              <w:rPr>
                <w:rFonts w:ascii="Arial" w:hAnsi="Arial" w:cs="Arial"/>
                <w:sz w:val="20"/>
                <w:szCs w:val="20"/>
              </w:rPr>
              <w:t>People and Culture</w:t>
            </w:r>
            <w:r w:rsidRPr="00560482">
              <w:rPr>
                <w:rFonts w:ascii="Arial" w:hAnsi="Arial" w:cs="Arial"/>
                <w:sz w:val="20"/>
                <w:szCs w:val="20"/>
              </w:rPr>
              <w:t xml:space="preserve"> strategy to plan, cost and quality</w:t>
            </w:r>
          </w:p>
          <w:p w14:paraId="3222102F" w14:textId="77777777" w:rsidR="00F97583" w:rsidRPr="00560482" w:rsidRDefault="00F97583" w:rsidP="005A7864">
            <w:pPr>
              <w:pStyle w:val="ListParagraph"/>
              <w:numPr>
                <w:ilvl w:val="0"/>
                <w:numId w:val="14"/>
              </w:numPr>
              <w:spacing w:after="0"/>
              <w:ind w:left="283"/>
              <w:jc w:val="both"/>
              <w:rPr>
                <w:rFonts w:ascii="Arial" w:hAnsi="Arial" w:cs="Arial"/>
                <w:sz w:val="20"/>
                <w:szCs w:val="20"/>
              </w:rPr>
            </w:pPr>
            <w:r w:rsidRPr="00560482">
              <w:rPr>
                <w:rFonts w:ascii="Arial" w:hAnsi="Arial" w:cs="Arial"/>
                <w:sz w:val="20"/>
                <w:szCs w:val="20"/>
              </w:rPr>
              <w:t xml:space="preserve">Lead on </w:t>
            </w:r>
            <w:r w:rsidR="005C2F90" w:rsidRPr="00560482">
              <w:rPr>
                <w:rFonts w:ascii="Arial" w:hAnsi="Arial" w:cs="Arial"/>
                <w:sz w:val="20"/>
                <w:szCs w:val="20"/>
              </w:rPr>
              <w:t xml:space="preserve">divisional people plans and </w:t>
            </w:r>
            <w:r w:rsidRPr="00560482">
              <w:rPr>
                <w:rFonts w:ascii="Arial" w:hAnsi="Arial" w:cs="Arial"/>
                <w:sz w:val="20"/>
                <w:szCs w:val="20"/>
              </w:rPr>
              <w:t xml:space="preserve">annual </w:t>
            </w:r>
            <w:r w:rsidR="005C2F90" w:rsidRPr="00560482">
              <w:rPr>
                <w:rFonts w:ascii="Arial" w:hAnsi="Arial" w:cs="Arial"/>
                <w:sz w:val="20"/>
                <w:szCs w:val="20"/>
              </w:rPr>
              <w:t>p</w:t>
            </w:r>
            <w:r w:rsidRPr="00560482">
              <w:rPr>
                <w:rFonts w:ascii="Arial" w:hAnsi="Arial" w:cs="Arial"/>
                <w:sz w:val="20"/>
                <w:szCs w:val="20"/>
              </w:rPr>
              <w:t>eople processes (salary, bonus, moderations) within the Finance, Risk and Compliance and Digital and Change Division</w:t>
            </w:r>
            <w:r w:rsidR="00566B80" w:rsidRPr="00560482">
              <w:rPr>
                <w:rFonts w:ascii="Arial" w:hAnsi="Arial" w:cs="Arial"/>
                <w:sz w:val="20"/>
                <w:szCs w:val="20"/>
              </w:rPr>
              <w:t>s</w:t>
            </w:r>
            <w:r w:rsidRPr="00560482">
              <w:rPr>
                <w:rFonts w:ascii="Arial" w:hAnsi="Arial" w:cs="Arial"/>
                <w:sz w:val="20"/>
                <w:szCs w:val="20"/>
              </w:rPr>
              <w:t xml:space="preserve"> engaging with business leaders to ensure understanding and completion in line with governance forums timeframes</w:t>
            </w:r>
          </w:p>
          <w:p w14:paraId="5FD39837" w14:textId="77777777" w:rsidR="005C2F90" w:rsidRPr="00560482" w:rsidRDefault="00F97583" w:rsidP="00EA2B49">
            <w:pPr>
              <w:pStyle w:val="ListParagraph"/>
              <w:numPr>
                <w:ilvl w:val="0"/>
                <w:numId w:val="14"/>
              </w:numPr>
              <w:spacing w:after="0"/>
              <w:ind w:left="283"/>
              <w:jc w:val="both"/>
              <w:rPr>
                <w:rFonts w:ascii="Arial" w:hAnsi="Arial" w:cs="Arial"/>
                <w:sz w:val="20"/>
                <w:szCs w:val="20"/>
              </w:rPr>
            </w:pPr>
            <w:r w:rsidRPr="00560482">
              <w:rPr>
                <w:rFonts w:ascii="Arial" w:hAnsi="Arial" w:cs="Arial"/>
                <w:sz w:val="20"/>
                <w:szCs w:val="20"/>
              </w:rPr>
              <w:t>L</w:t>
            </w:r>
            <w:r w:rsidR="005C2F90" w:rsidRPr="00560482">
              <w:rPr>
                <w:rFonts w:ascii="Arial" w:hAnsi="Arial" w:cs="Arial"/>
                <w:sz w:val="20"/>
                <w:szCs w:val="20"/>
              </w:rPr>
              <w:t>ead on assigned People and</w:t>
            </w:r>
            <w:r w:rsidRPr="00560482">
              <w:rPr>
                <w:rFonts w:ascii="Arial" w:hAnsi="Arial" w:cs="Arial"/>
                <w:sz w:val="20"/>
                <w:szCs w:val="20"/>
              </w:rPr>
              <w:t xml:space="preserve"> Culture projects affecting MPS wide and roll out other</w:t>
            </w:r>
            <w:r w:rsidR="0037486B">
              <w:rPr>
                <w:rFonts w:ascii="Arial" w:hAnsi="Arial" w:cs="Arial"/>
                <w:sz w:val="20"/>
                <w:szCs w:val="20"/>
              </w:rPr>
              <w:t xml:space="preserve"> </w:t>
            </w:r>
            <w:r w:rsidRPr="00560482">
              <w:rPr>
                <w:rFonts w:ascii="Arial" w:hAnsi="Arial" w:cs="Arial"/>
                <w:sz w:val="20"/>
                <w:szCs w:val="20"/>
              </w:rPr>
              <w:t xml:space="preserve">projects/initiatives within </w:t>
            </w:r>
            <w:r w:rsidR="00EA2B49">
              <w:rPr>
                <w:rFonts w:ascii="Arial" w:hAnsi="Arial" w:cs="Arial"/>
                <w:sz w:val="20"/>
                <w:szCs w:val="20"/>
              </w:rPr>
              <w:t>P&amp;C</w:t>
            </w:r>
            <w:r w:rsidRPr="00560482">
              <w:rPr>
                <w:rFonts w:ascii="Arial" w:hAnsi="Arial" w:cs="Arial"/>
                <w:sz w:val="20"/>
                <w:szCs w:val="20"/>
              </w:rPr>
              <w:t xml:space="preserve"> ensuring delivery of projects to time, cost and quality and that can demonstrate a return on investment</w:t>
            </w:r>
          </w:p>
        </w:tc>
        <w:tc>
          <w:tcPr>
            <w:tcW w:w="4141" w:type="dxa"/>
          </w:tcPr>
          <w:p w14:paraId="53835836" w14:textId="77777777" w:rsidR="004762DC" w:rsidRPr="004762DC" w:rsidRDefault="004762DC" w:rsidP="005A7864">
            <w:pPr>
              <w:pStyle w:val="ListParagraph"/>
              <w:numPr>
                <w:ilvl w:val="0"/>
                <w:numId w:val="6"/>
              </w:numPr>
              <w:spacing w:before="0" w:beforeAutospacing="0" w:after="0" w:afterAutospacing="0"/>
              <w:ind w:left="459"/>
              <w:jc w:val="both"/>
              <w:rPr>
                <w:rFonts w:ascii="Arial" w:eastAsia="Calibri" w:hAnsi="Arial" w:cs="Arial"/>
                <w:sz w:val="20"/>
                <w:szCs w:val="20"/>
              </w:rPr>
            </w:pPr>
            <w:r w:rsidRPr="004762DC">
              <w:rPr>
                <w:rFonts w:ascii="Arial" w:eastAsia="Calibri" w:hAnsi="Arial" w:cs="Arial"/>
                <w:sz w:val="20"/>
                <w:szCs w:val="20"/>
              </w:rPr>
              <w:t>Corporate Strategic priorities Vs plan</w:t>
            </w:r>
          </w:p>
          <w:p w14:paraId="70DBEE79" w14:textId="77777777" w:rsidR="004762DC" w:rsidRPr="004762DC" w:rsidRDefault="004762DC" w:rsidP="005A7864">
            <w:pPr>
              <w:pStyle w:val="ListParagraph"/>
              <w:numPr>
                <w:ilvl w:val="0"/>
                <w:numId w:val="6"/>
              </w:numPr>
              <w:spacing w:before="0" w:beforeAutospacing="0" w:after="0" w:afterAutospacing="0"/>
              <w:ind w:left="459"/>
              <w:jc w:val="both"/>
              <w:rPr>
                <w:rFonts w:ascii="Arial" w:eastAsia="Calibri" w:hAnsi="Arial" w:cs="Arial"/>
                <w:sz w:val="20"/>
                <w:szCs w:val="20"/>
              </w:rPr>
            </w:pPr>
            <w:r w:rsidRPr="004762DC">
              <w:rPr>
                <w:rFonts w:ascii="Arial" w:eastAsia="Calibri" w:hAnsi="Arial" w:cs="Arial"/>
                <w:sz w:val="20"/>
                <w:szCs w:val="20"/>
              </w:rPr>
              <w:t>Division Plan delivery</w:t>
            </w:r>
            <w:r w:rsidR="0037486B">
              <w:rPr>
                <w:rFonts w:ascii="Arial" w:eastAsia="Calibri" w:hAnsi="Arial" w:cs="Arial"/>
                <w:sz w:val="20"/>
                <w:szCs w:val="20"/>
              </w:rPr>
              <w:t xml:space="preserve"> </w:t>
            </w:r>
            <w:r w:rsidRPr="004762DC">
              <w:rPr>
                <w:rFonts w:ascii="Arial" w:eastAsia="Calibri" w:hAnsi="Arial" w:cs="Arial"/>
                <w:sz w:val="20"/>
                <w:szCs w:val="20"/>
              </w:rPr>
              <w:t xml:space="preserve">Vs plan </w:t>
            </w:r>
          </w:p>
          <w:p w14:paraId="40589683" w14:textId="77777777" w:rsidR="004762DC" w:rsidRPr="004762DC" w:rsidRDefault="00F97583" w:rsidP="005A7864">
            <w:pPr>
              <w:pStyle w:val="ListParagraph"/>
              <w:numPr>
                <w:ilvl w:val="0"/>
                <w:numId w:val="6"/>
              </w:numPr>
              <w:spacing w:before="0" w:beforeAutospacing="0" w:after="0" w:afterAutospacing="0"/>
              <w:ind w:left="459"/>
              <w:jc w:val="both"/>
              <w:rPr>
                <w:rFonts w:ascii="Arial" w:eastAsia="Calibri" w:hAnsi="Arial" w:cs="Arial"/>
                <w:sz w:val="20"/>
                <w:szCs w:val="20"/>
              </w:rPr>
            </w:pPr>
            <w:r>
              <w:rPr>
                <w:rFonts w:ascii="Arial" w:eastAsia="Calibri" w:hAnsi="Arial" w:cs="Arial"/>
                <w:sz w:val="20"/>
                <w:szCs w:val="20"/>
              </w:rPr>
              <w:t>MPS</w:t>
            </w:r>
            <w:r w:rsidR="004762DC" w:rsidRPr="004762DC">
              <w:rPr>
                <w:rFonts w:ascii="Arial" w:eastAsia="Calibri" w:hAnsi="Arial" w:cs="Arial"/>
                <w:sz w:val="20"/>
                <w:szCs w:val="20"/>
              </w:rPr>
              <w:t xml:space="preserve"> engagement index Vs plan</w:t>
            </w:r>
          </w:p>
          <w:p w14:paraId="2192F17D" w14:textId="77777777" w:rsidR="004762DC" w:rsidRDefault="004762DC" w:rsidP="005A7864">
            <w:pPr>
              <w:pStyle w:val="ListParagraph"/>
              <w:numPr>
                <w:ilvl w:val="0"/>
                <w:numId w:val="6"/>
              </w:numPr>
              <w:spacing w:before="0" w:beforeAutospacing="0" w:after="0" w:afterAutospacing="0"/>
              <w:ind w:left="459"/>
              <w:jc w:val="both"/>
              <w:rPr>
                <w:rFonts w:ascii="Arial" w:eastAsia="Calibri" w:hAnsi="Arial" w:cs="Arial"/>
                <w:sz w:val="20"/>
                <w:szCs w:val="20"/>
              </w:rPr>
            </w:pPr>
            <w:r w:rsidRPr="004762DC">
              <w:rPr>
                <w:rFonts w:ascii="Arial" w:eastAsia="Calibri" w:hAnsi="Arial" w:cs="Arial"/>
                <w:sz w:val="20"/>
                <w:szCs w:val="20"/>
              </w:rPr>
              <w:t>MPS leadership index Vs plan</w:t>
            </w:r>
          </w:p>
          <w:p w14:paraId="1D471058" w14:textId="77777777" w:rsidR="00F97583" w:rsidRPr="004762DC" w:rsidRDefault="00F97583" w:rsidP="005A7864">
            <w:pPr>
              <w:pStyle w:val="ListParagraph"/>
              <w:numPr>
                <w:ilvl w:val="0"/>
                <w:numId w:val="6"/>
              </w:numPr>
              <w:spacing w:before="0" w:beforeAutospacing="0" w:after="0" w:afterAutospacing="0"/>
              <w:ind w:left="459"/>
              <w:jc w:val="both"/>
              <w:rPr>
                <w:rFonts w:ascii="Arial" w:eastAsia="Calibri" w:hAnsi="Arial" w:cs="Arial"/>
                <w:sz w:val="20"/>
                <w:szCs w:val="20"/>
              </w:rPr>
            </w:pPr>
            <w:r>
              <w:rPr>
                <w:rFonts w:ascii="Arial" w:eastAsia="Calibri" w:hAnsi="Arial" w:cs="Arial"/>
                <w:sz w:val="20"/>
                <w:szCs w:val="20"/>
              </w:rPr>
              <w:t>P&amp;C</w:t>
            </w:r>
            <w:r w:rsidRPr="004762DC">
              <w:rPr>
                <w:rFonts w:ascii="Arial" w:eastAsia="Calibri" w:hAnsi="Arial" w:cs="Arial"/>
                <w:sz w:val="20"/>
                <w:szCs w:val="20"/>
              </w:rPr>
              <w:t xml:space="preserve"> engagement index Vs plan</w:t>
            </w:r>
          </w:p>
          <w:p w14:paraId="4A4AC1D5" w14:textId="77777777" w:rsidR="00F97583" w:rsidRDefault="00F97583" w:rsidP="005A7864">
            <w:pPr>
              <w:pStyle w:val="ListParagraph"/>
              <w:numPr>
                <w:ilvl w:val="0"/>
                <w:numId w:val="6"/>
              </w:numPr>
              <w:spacing w:before="0" w:beforeAutospacing="0" w:after="0" w:afterAutospacing="0"/>
              <w:ind w:left="459"/>
              <w:jc w:val="both"/>
              <w:rPr>
                <w:rFonts w:ascii="Arial" w:eastAsia="Calibri" w:hAnsi="Arial" w:cs="Arial"/>
                <w:sz w:val="20"/>
                <w:szCs w:val="20"/>
              </w:rPr>
            </w:pPr>
            <w:r w:rsidRPr="00F97583">
              <w:rPr>
                <w:rFonts w:ascii="Arial" w:eastAsia="Calibri" w:hAnsi="Arial" w:cs="Arial"/>
                <w:sz w:val="20"/>
                <w:szCs w:val="20"/>
              </w:rPr>
              <w:t>P&amp;C leadership index Vs plan</w:t>
            </w:r>
          </w:p>
          <w:p w14:paraId="30FAD542" w14:textId="77777777" w:rsidR="005A7864" w:rsidRPr="00F97583" w:rsidRDefault="005A7864" w:rsidP="005A7864">
            <w:pPr>
              <w:pStyle w:val="ListParagraph"/>
              <w:numPr>
                <w:ilvl w:val="0"/>
                <w:numId w:val="6"/>
              </w:numPr>
              <w:spacing w:before="0" w:beforeAutospacing="0" w:after="0" w:afterAutospacing="0"/>
              <w:ind w:left="459"/>
              <w:jc w:val="both"/>
              <w:rPr>
                <w:rFonts w:ascii="Arial" w:eastAsia="Calibri" w:hAnsi="Arial" w:cs="Arial"/>
                <w:sz w:val="20"/>
                <w:szCs w:val="20"/>
              </w:rPr>
            </w:pPr>
            <w:r>
              <w:rPr>
                <w:rFonts w:ascii="Arial" w:eastAsia="Calibri" w:hAnsi="Arial" w:cs="Arial"/>
                <w:sz w:val="20"/>
                <w:szCs w:val="20"/>
              </w:rPr>
              <w:t>Delivery people plans Vs Plan</w:t>
            </w:r>
          </w:p>
          <w:p w14:paraId="21D40664" w14:textId="77777777" w:rsidR="009E22D0" w:rsidRPr="00B75089" w:rsidRDefault="009E22D0" w:rsidP="00560482">
            <w:pPr>
              <w:pStyle w:val="ListParagraph"/>
              <w:tabs>
                <w:tab w:val="left" w:pos="921"/>
              </w:tabs>
              <w:spacing w:before="0" w:beforeAutospacing="0" w:after="0" w:afterAutospacing="0"/>
              <w:jc w:val="both"/>
              <w:rPr>
                <w:rFonts w:ascii="Arial" w:hAnsi="Arial" w:cs="Arial"/>
                <w:sz w:val="20"/>
                <w:szCs w:val="20"/>
              </w:rPr>
            </w:pPr>
          </w:p>
        </w:tc>
      </w:tr>
      <w:tr w:rsidR="009E22D0" w:rsidRPr="00B75089" w14:paraId="2F86A7FD" w14:textId="77777777" w:rsidTr="009E22D0">
        <w:trPr>
          <w:trHeight w:val="578"/>
        </w:trPr>
        <w:tc>
          <w:tcPr>
            <w:tcW w:w="6346" w:type="dxa"/>
          </w:tcPr>
          <w:p w14:paraId="2565339E" w14:textId="77777777" w:rsidR="009E22D0" w:rsidRPr="00B75089" w:rsidRDefault="009E22D0" w:rsidP="00560482">
            <w:pPr>
              <w:spacing w:after="0" w:line="240" w:lineRule="auto"/>
              <w:jc w:val="both"/>
              <w:rPr>
                <w:rFonts w:ascii="Arial" w:hAnsi="Arial" w:cs="Arial"/>
                <w:b/>
                <w:sz w:val="20"/>
                <w:szCs w:val="20"/>
              </w:rPr>
            </w:pPr>
            <w:r w:rsidRPr="00B75089">
              <w:rPr>
                <w:rFonts w:ascii="Arial" w:hAnsi="Arial" w:cs="Arial"/>
                <w:b/>
                <w:sz w:val="20"/>
                <w:szCs w:val="20"/>
              </w:rPr>
              <w:t>Financial</w:t>
            </w:r>
          </w:p>
          <w:p w14:paraId="3679FB95" w14:textId="77777777" w:rsidR="005817D2" w:rsidRPr="00560482" w:rsidRDefault="00EB0F5E" w:rsidP="005A7864">
            <w:pPr>
              <w:pStyle w:val="ListParagraph"/>
              <w:numPr>
                <w:ilvl w:val="0"/>
                <w:numId w:val="15"/>
              </w:numPr>
              <w:spacing w:before="0" w:beforeAutospacing="0" w:after="0" w:afterAutospacing="0"/>
              <w:ind w:left="283" w:hanging="283"/>
              <w:jc w:val="both"/>
              <w:rPr>
                <w:rFonts w:ascii="Arial" w:hAnsi="Arial" w:cs="Arial"/>
                <w:sz w:val="20"/>
                <w:szCs w:val="20"/>
              </w:rPr>
            </w:pPr>
            <w:r>
              <w:rPr>
                <w:rFonts w:ascii="Arial" w:hAnsi="Arial" w:cs="Arial"/>
                <w:sz w:val="20"/>
                <w:szCs w:val="20"/>
              </w:rPr>
              <w:t>Work with other People and Culture leaders to s</w:t>
            </w:r>
            <w:r w:rsidR="005817D2" w:rsidRPr="00560482">
              <w:rPr>
                <w:rFonts w:ascii="Arial" w:hAnsi="Arial" w:cs="Arial"/>
                <w:sz w:val="20"/>
                <w:szCs w:val="20"/>
              </w:rPr>
              <w:t xml:space="preserve">et and deliver the </w:t>
            </w:r>
            <w:r>
              <w:rPr>
                <w:rFonts w:ascii="Arial" w:hAnsi="Arial" w:cs="Arial"/>
                <w:sz w:val="20"/>
                <w:szCs w:val="20"/>
              </w:rPr>
              <w:t>budget</w:t>
            </w:r>
            <w:r w:rsidR="005817D2" w:rsidRPr="00560482">
              <w:rPr>
                <w:rFonts w:ascii="Arial" w:hAnsi="Arial" w:cs="Arial"/>
                <w:sz w:val="20"/>
                <w:szCs w:val="20"/>
              </w:rPr>
              <w:t xml:space="preserve"> ensuring an efficient and effective </w:t>
            </w:r>
            <w:r>
              <w:rPr>
                <w:rFonts w:ascii="Arial" w:hAnsi="Arial" w:cs="Arial"/>
                <w:sz w:val="20"/>
                <w:szCs w:val="20"/>
              </w:rPr>
              <w:t xml:space="preserve">Policy and Advice </w:t>
            </w:r>
            <w:r w:rsidR="005817D2" w:rsidRPr="00560482">
              <w:rPr>
                <w:rFonts w:ascii="Arial" w:hAnsi="Arial" w:cs="Arial"/>
                <w:sz w:val="20"/>
                <w:szCs w:val="20"/>
              </w:rPr>
              <w:t xml:space="preserve">operating model which minimises cost and maximises financial sustainability without compromising the </w:t>
            </w:r>
            <w:r w:rsidR="00560482" w:rsidRPr="00560482">
              <w:rPr>
                <w:rFonts w:ascii="Arial" w:hAnsi="Arial" w:cs="Arial"/>
                <w:sz w:val="20"/>
                <w:szCs w:val="20"/>
              </w:rPr>
              <w:t>People and Culture support</w:t>
            </w:r>
            <w:r w:rsidR="005817D2" w:rsidRPr="00560482">
              <w:rPr>
                <w:rFonts w:ascii="Arial" w:hAnsi="Arial" w:cs="Arial"/>
                <w:sz w:val="20"/>
                <w:szCs w:val="20"/>
              </w:rPr>
              <w:t xml:space="preserve">. </w:t>
            </w:r>
          </w:p>
          <w:p w14:paraId="00B54C0A" w14:textId="77777777" w:rsidR="005817D2" w:rsidRPr="00560482" w:rsidRDefault="005C2F90" w:rsidP="005A7864">
            <w:pPr>
              <w:pStyle w:val="ListParagraph"/>
              <w:numPr>
                <w:ilvl w:val="0"/>
                <w:numId w:val="15"/>
              </w:numPr>
              <w:spacing w:after="0"/>
              <w:ind w:left="283" w:hanging="283"/>
              <w:jc w:val="both"/>
              <w:rPr>
                <w:rFonts w:ascii="Arial" w:hAnsi="Arial" w:cs="Arial"/>
                <w:sz w:val="20"/>
                <w:szCs w:val="20"/>
              </w:rPr>
            </w:pPr>
            <w:r w:rsidRPr="00560482">
              <w:rPr>
                <w:rFonts w:ascii="Arial" w:hAnsi="Arial" w:cs="Arial"/>
                <w:sz w:val="20"/>
                <w:szCs w:val="20"/>
              </w:rPr>
              <w:t>Manage the development and</w:t>
            </w:r>
            <w:r w:rsidR="005817D2" w:rsidRPr="00560482">
              <w:rPr>
                <w:rFonts w:ascii="Arial" w:hAnsi="Arial" w:cs="Arial"/>
                <w:sz w:val="20"/>
                <w:szCs w:val="20"/>
              </w:rPr>
              <w:t xml:space="preserve"> management of the external third party </w:t>
            </w:r>
            <w:r w:rsidR="00EB0F5E">
              <w:rPr>
                <w:rFonts w:ascii="Arial" w:hAnsi="Arial" w:cs="Arial"/>
                <w:sz w:val="20"/>
                <w:szCs w:val="20"/>
              </w:rPr>
              <w:t xml:space="preserve">employment </w:t>
            </w:r>
            <w:r w:rsidRPr="00560482">
              <w:rPr>
                <w:rFonts w:ascii="Arial" w:hAnsi="Arial" w:cs="Arial"/>
                <w:sz w:val="20"/>
                <w:szCs w:val="20"/>
              </w:rPr>
              <w:t xml:space="preserve">advice </w:t>
            </w:r>
            <w:r w:rsidR="005817D2" w:rsidRPr="00560482">
              <w:rPr>
                <w:rFonts w:ascii="Arial" w:hAnsi="Arial" w:cs="Arial"/>
                <w:sz w:val="20"/>
                <w:szCs w:val="20"/>
              </w:rPr>
              <w:t>for UK and International to ensure a cost effective and efficient service. This requires working in collaboration with the Procurement Team.</w:t>
            </w:r>
          </w:p>
          <w:p w14:paraId="4632C4FE" w14:textId="77777777" w:rsidR="004249E8" w:rsidRPr="00560482" w:rsidRDefault="005817D2" w:rsidP="005A7864">
            <w:pPr>
              <w:pStyle w:val="ListParagraph"/>
              <w:numPr>
                <w:ilvl w:val="0"/>
                <w:numId w:val="15"/>
              </w:numPr>
              <w:spacing w:after="0"/>
              <w:ind w:left="283" w:hanging="283"/>
              <w:jc w:val="both"/>
              <w:rPr>
                <w:rFonts w:ascii="Arial" w:hAnsi="Arial" w:cs="Arial"/>
                <w:sz w:val="20"/>
                <w:szCs w:val="20"/>
              </w:rPr>
            </w:pPr>
            <w:r w:rsidRPr="00560482">
              <w:rPr>
                <w:rFonts w:ascii="Arial" w:hAnsi="Arial" w:cs="Arial"/>
                <w:sz w:val="20"/>
                <w:szCs w:val="20"/>
              </w:rPr>
              <w:t xml:space="preserve">Work with the centralised BI/MI team to define and produce operational metrics and insight which </w:t>
            </w:r>
            <w:r w:rsidR="005C2F90" w:rsidRPr="00560482">
              <w:rPr>
                <w:rFonts w:ascii="Arial" w:hAnsi="Arial" w:cs="Arial"/>
                <w:sz w:val="20"/>
                <w:szCs w:val="20"/>
              </w:rPr>
              <w:t>g</w:t>
            </w:r>
            <w:r w:rsidR="004249E8" w:rsidRPr="00560482">
              <w:rPr>
                <w:rFonts w:ascii="Arial" w:hAnsi="Arial" w:cs="Arial"/>
                <w:sz w:val="20"/>
                <w:szCs w:val="20"/>
              </w:rPr>
              <w:t>ather</w:t>
            </w:r>
            <w:r w:rsidR="005C2F90" w:rsidRPr="00560482">
              <w:rPr>
                <w:rFonts w:ascii="Arial" w:hAnsi="Arial" w:cs="Arial"/>
                <w:sz w:val="20"/>
                <w:szCs w:val="20"/>
              </w:rPr>
              <w:t>s</w:t>
            </w:r>
            <w:r w:rsidR="004249E8" w:rsidRPr="00560482">
              <w:rPr>
                <w:rFonts w:ascii="Arial" w:hAnsi="Arial" w:cs="Arial"/>
                <w:sz w:val="20"/>
                <w:szCs w:val="20"/>
              </w:rPr>
              <w:t xml:space="preserve"> from people metrics and organisational data sources to inform business decisions and actions which results in a measurable improvement in business </w:t>
            </w:r>
            <w:r w:rsidR="004249E8" w:rsidRPr="00560482">
              <w:rPr>
                <w:rFonts w:ascii="Arial" w:hAnsi="Arial" w:cs="Arial"/>
                <w:sz w:val="20"/>
                <w:szCs w:val="20"/>
              </w:rPr>
              <w:lastRenderedPageBreak/>
              <w:t>performance and people metric trends</w:t>
            </w:r>
            <w:r w:rsidR="005C2F90" w:rsidRPr="00560482">
              <w:rPr>
                <w:rFonts w:ascii="Arial" w:hAnsi="Arial" w:cs="Arial"/>
                <w:sz w:val="20"/>
                <w:szCs w:val="20"/>
              </w:rPr>
              <w:t>.</w:t>
            </w:r>
          </w:p>
        </w:tc>
        <w:tc>
          <w:tcPr>
            <w:tcW w:w="4141" w:type="dxa"/>
          </w:tcPr>
          <w:p w14:paraId="24BC284E" w14:textId="77777777" w:rsidR="004762DC" w:rsidRPr="004762DC" w:rsidRDefault="004762DC" w:rsidP="00EB0F5E">
            <w:pPr>
              <w:pStyle w:val="ListParagraph"/>
              <w:numPr>
                <w:ilvl w:val="0"/>
                <w:numId w:val="3"/>
              </w:numPr>
              <w:spacing w:before="0" w:beforeAutospacing="0" w:after="0" w:afterAutospacing="0"/>
              <w:ind w:left="459"/>
              <w:jc w:val="both"/>
              <w:rPr>
                <w:rFonts w:ascii="Arial" w:hAnsi="Arial" w:cs="Arial"/>
                <w:sz w:val="20"/>
                <w:szCs w:val="20"/>
              </w:rPr>
            </w:pPr>
            <w:r w:rsidRPr="004762DC">
              <w:rPr>
                <w:rFonts w:ascii="Arial" w:hAnsi="Arial" w:cs="Arial"/>
                <w:sz w:val="20"/>
                <w:szCs w:val="20"/>
              </w:rPr>
              <w:lastRenderedPageBreak/>
              <w:t>Operational budget Vs Plan</w:t>
            </w:r>
          </w:p>
          <w:p w14:paraId="61630A15" w14:textId="77777777" w:rsidR="009E22D0" w:rsidRPr="00B75089" w:rsidRDefault="009E22D0" w:rsidP="00560482">
            <w:pPr>
              <w:pStyle w:val="ListParagraph"/>
              <w:spacing w:before="0" w:beforeAutospacing="0" w:after="0" w:afterAutospacing="0"/>
              <w:jc w:val="both"/>
              <w:rPr>
                <w:rFonts w:ascii="Arial" w:hAnsi="Arial" w:cs="Arial"/>
                <w:sz w:val="20"/>
                <w:szCs w:val="20"/>
              </w:rPr>
            </w:pPr>
          </w:p>
        </w:tc>
      </w:tr>
      <w:tr w:rsidR="009E22D0" w:rsidRPr="00B75089" w14:paraId="4223388F" w14:textId="77777777" w:rsidTr="009E22D0">
        <w:trPr>
          <w:trHeight w:val="578"/>
        </w:trPr>
        <w:tc>
          <w:tcPr>
            <w:tcW w:w="6346" w:type="dxa"/>
          </w:tcPr>
          <w:p w14:paraId="5BE75F03" w14:textId="77777777" w:rsidR="004249E8" w:rsidRDefault="009E22D0" w:rsidP="00560482">
            <w:pPr>
              <w:spacing w:after="0" w:line="240" w:lineRule="auto"/>
              <w:jc w:val="both"/>
              <w:rPr>
                <w:rFonts w:ascii="Arial" w:hAnsi="Arial" w:cs="Arial"/>
                <w:b/>
                <w:sz w:val="20"/>
                <w:szCs w:val="20"/>
              </w:rPr>
            </w:pPr>
            <w:r w:rsidRPr="00B75089">
              <w:rPr>
                <w:rFonts w:ascii="Arial" w:hAnsi="Arial" w:cs="Arial"/>
                <w:b/>
                <w:sz w:val="20"/>
                <w:szCs w:val="20"/>
              </w:rPr>
              <w:t>Member</w:t>
            </w:r>
          </w:p>
          <w:p w14:paraId="5634E894" w14:textId="77777777" w:rsidR="009E22D0" w:rsidRPr="00560482" w:rsidRDefault="004249E8" w:rsidP="00EB0F5E">
            <w:pPr>
              <w:pStyle w:val="ListParagraph"/>
              <w:numPr>
                <w:ilvl w:val="0"/>
                <w:numId w:val="3"/>
              </w:numPr>
              <w:spacing w:before="0" w:beforeAutospacing="0" w:after="0" w:afterAutospacing="0"/>
              <w:ind w:left="283" w:hanging="283"/>
              <w:jc w:val="both"/>
              <w:rPr>
                <w:rFonts w:ascii="Arial" w:hAnsi="Arial" w:cs="Arial"/>
                <w:sz w:val="20"/>
                <w:szCs w:val="20"/>
              </w:rPr>
            </w:pPr>
            <w:r w:rsidRPr="00560482">
              <w:rPr>
                <w:rFonts w:ascii="Arial" w:hAnsi="Arial" w:cs="Arial"/>
                <w:sz w:val="20"/>
                <w:szCs w:val="20"/>
              </w:rPr>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p>
          <w:p w14:paraId="46CB6496" w14:textId="77777777" w:rsidR="004762DC" w:rsidRPr="00560482" w:rsidRDefault="004762DC" w:rsidP="00EB0F5E">
            <w:pPr>
              <w:pStyle w:val="ListParagraph"/>
              <w:numPr>
                <w:ilvl w:val="0"/>
                <w:numId w:val="3"/>
              </w:numPr>
              <w:spacing w:after="0"/>
              <w:ind w:left="283" w:hanging="283"/>
              <w:jc w:val="both"/>
              <w:rPr>
                <w:rFonts w:ascii="Arial" w:hAnsi="Arial" w:cs="Arial"/>
                <w:sz w:val="20"/>
                <w:szCs w:val="20"/>
              </w:rPr>
            </w:pPr>
            <w:r w:rsidRPr="00560482">
              <w:rPr>
                <w:rFonts w:ascii="Arial" w:hAnsi="Arial" w:cs="Arial"/>
                <w:sz w:val="20"/>
                <w:szCs w:val="20"/>
              </w:rPr>
              <w:t xml:space="preserve">Lead </w:t>
            </w:r>
            <w:r w:rsidR="00560482">
              <w:rPr>
                <w:rFonts w:ascii="Arial" w:hAnsi="Arial" w:cs="Arial"/>
                <w:sz w:val="20"/>
                <w:szCs w:val="20"/>
              </w:rPr>
              <w:t>Policy and Advice</w:t>
            </w:r>
            <w:r w:rsidRPr="00560482">
              <w:rPr>
                <w:rFonts w:ascii="Arial" w:hAnsi="Arial" w:cs="Arial"/>
                <w:sz w:val="20"/>
                <w:szCs w:val="20"/>
              </w:rPr>
              <w:t xml:space="preserve"> function to ensure fair treatment and outcomes for </w:t>
            </w:r>
            <w:r w:rsidR="00560482">
              <w:rPr>
                <w:rFonts w:ascii="Arial" w:hAnsi="Arial" w:cs="Arial"/>
                <w:sz w:val="20"/>
                <w:szCs w:val="20"/>
              </w:rPr>
              <w:t xml:space="preserve">colleagues and the organisation ensuring </w:t>
            </w:r>
            <w:r w:rsidRPr="00560482">
              <w:rPr>
                <w:rFonts w:ascii="Arial" w:hAnsi="Arial" w:cs="Arial"/>
                <w:sz w:val="20"/>
                <w:szCs w:val="20"/>
              </w:rPr>
              <w:t>compliance with associated policies.</w:t>
            </w:r>
          </w:p>
          <w:p w14:paraId="03DE9AC6" w14:textId="77777777" w:rsidR="009E22D0" w:rsidRPr="00560482" w:rsidRDefault="004762DC" w:rsidP="00EB0F5E">
            <w:pPr>
              <w:pStyle w:val="ListParagraph"/>
              <w:numPr>
                <w:ilvl w:val="0"/>
                <w:numId w:val="3"/>
              </w:numPr>
              <w:spacing w:after="0"/>
              <w:ind w:left="283" w:hanging="283"/>
              <w:jc w:val="both"/>
              <w:rPr>
                <w:rFonts w:ascii="Arial" w:hAnsi="Arial" w:cs="Arial"/>
                <w:sz w:val="20"/>
                <w:szCs w:val="20"/>
              </w:rPr>
            </w:pPr>
            <w:r w:rsidRPr="00560482">
              <w:rPr>
                <w:rFonts w:ascii="Arial" w:hAnsi="Arial" w:cs="Arial"/>
                <w:sz w:val="20"/>
                <w:szCs w:val="20"/>
              </w:rPr>
              <w:t>Establish a culture and capability in Lean / continuous improvement to drive operational efficiency and great member experiences and outcomes.</w:t>
            </w:r>
          </w:p>
        </w:tc>
        <w:tc>
          <w:tcPr>
            <w:tcW w:w="4141" w:type="dxa"/>
          </w:tcPr>
          <w:p w14:paraId="0DE44DF6" w14:textId="77777777" w:rsidR="004762DC" w:rsidRPr="004762DC" w:rsidRDefault="004762DC" w:rsidP="00EB0F5E">
            <w:pPr>
              <w:pStyle w:val="ListParagraph"/>
              <w:numPr>
                <w:ilvl w:val="0"/>
                <w:numId w:val="4"/>
              </w:numPr>
              <w:spacing w:before="0" w:beforeAutospacing="0" w:after="0" w:afterAutospacing="0"/>
              <w:ind w:left="459"/>
              <w:jc w:val="both"/>
              <w:rPr>
                <w:rFonts w:ascii="Arial" w:hAnsi="Arial" w:cs="Arial"/>
                <w:sz w:val="20"/>
                <w:szCs w:val="20"/>
              </w:rPr>
            </w:pPr>
            <w:r w:rsidRPr="004762DC">
              <w:rPr>
                <w:rFonts w:ascii="Arial" w:hAnsi="Arial" w:cs="Arial"/>
                <w:sz w:val="20"/>
                <w:szCs w:val="20"/>
              </w:rPr>
              <w:t>Net promoter score</w:t>
            </w:r>
          </w:p>
          <w:p w14:paraId="0A8F9A68" w14:textId="77777777" w:rsidR="009E22D0" w:rsidRPr="00B75089" w:rsidRDefault="009E22D0" w:rsidP="00EB0F5E">
            <w:pPr>
              <w:pStyle w:val="ListParagraph"/>
              <w:spacing w:before="0" w:beforeAutospacing="0" w:after="0" w:afterAutospacing="0"/>
              <w:ind w:left="459"/>
              <w:jc w:val="both"/>
              <w:rPr>
                <w:rFonts w:ascii="Arial" w:hAnsi="Arial" w:cs="Arial"/>
                <w:sz w:val="20"/>
                <w:szCs w:val="20"/>
              </w:rPr>
            </w:pPr>
          </w:p>
        </w:tc>
      </w:tr>
      <w:tr w:rsidR="009E22D0" w:rsidRPr="00B75089" w14:paraId="484DBAD6" w14:textId="77777777" w:rsidTr="009E22D0">
        <w:trPr>
          <w:trHeight w:val="591"/>
        </w:trPr>
        <w:tc>
          <w:tcPr>
            <w:tcW w:w="6346" w:type="dxa"/>
          </w:tcPr>
          <w:p w14:paraId="5C3DA94E" w14:textId="77777777" w:rsidR="009E22D0" w:rsidRDefault="009E22D0" w:rsidP="00560482">
            <w:pPr>
              <w:spacing w:after="0" w:line="240" w:lineRule="auto"/>
              <w:jc w:val="both"/>
              <w:rPr>
                <w:rFonts w:ascii="Arial" w:hAnsi="Arial" w:cs="Arial"/>
                <w:b/>
                <w:sz w:val="20"/>
                <w:szCs w:val="20"/>
              </w:rPr>
            </w:pPr>
            <w:r w:rsidRPr="00B75089">
              <w:rPr>
                <w:rFonts w:ascii="Arial" w:hAnsi="Arial" w:cs="Arial"/>
                <w:b/>
                <w:sz w:val="20"/>
                <w:szCs w:val="20"/>
              </w:rPr>
              <w:t>People</w:t>
            </w:r>
          </w:p>
          <w:p w14:paraId="4494E9A1" w14:textId="77777777" w:rsidR="00D40ED9" w:rsidRPr="00560482" w:rsidRDefault="00D40ED9" w:rsidP="00EB0F5E">
            <w:pPr>
              <w:pStyle w:val="ListParagraph"/>
              <w:numPr>
                <w:ilvl w:val="0"/>
                <w:numId w:val="4"/>
              </w:numPr>
              <w:spacing w:before="0" w:beforeAutospacing="0" w:after="0" w:afterAutospacing="0"/>
              <w:ind w:left="283" w:hanging="283"/>
              <w:jc w:val="both"/>
              <w:rPr>
                <w:rFonts w:ascii="Arial" w:hAnsi="Arial" w:cs="Arial"/>
                <w:sz w:val="20"/>
                <w:szCs w:val="20"/>
              </w:rPr>
            </w:pPr>
            <w:r w:rsidRPr="00560482">
              <w:rPr>
                <w:rFonts w:ascii="Arial" w:hAnsi="Arial" w:cs="Arial"/>
                <w:sz w:val="20"/>
                <w:szCs w:val="20"/>
              </w:rPr>
              <w:t xml:space="preserve">Provide strong leadership to ensure the training, competence, performance and engagement of all employees in </w:t>
            </w:r>
            <w:r w:rsidR="00753509" w:rsidRPr="00560482">
              <w:rPr>
                <w:rFonts w:ascii="Arial" w:hAnsi="Arial" w:cs="Arial"/>
                <w:sz w:val="20"/>
                <w:szCs w:val="20"/>
              </w:rPr>
              <w:t>People and Culture</w:t>
            </w:r>
            <w:r w:rsidRPr="00560482">
              <w:rPr>
                <w:rFonts w:ascii="Arial" w:hAnsi="Arial" w:cs="Arial"/>
                <w:sz w:val="20"/>
                <w:szCs w:val="20"/>
              </w:rPr>
              <w:t xml:space="preserve"> ensuring all have clarity on their accountabilities and comply with all governance, policy standards and processes.</w:t>
            </w:r>
          </w:p>
          <w:p w14:paraId="1FD3AC98" w14:textId="77777777" w:rsidR="00D40ED9" w:rsidRPr="00560482" w:rsidRDefault="00D40ED9" w:rsidP="00EB0F5E">
            <w:pPr>
              <w:pStyle w:val="ListParagraph"/>
              <w:numPr>
                <w:ilvl w:val="0"/>
                <w:numId w:val="4"/>
              </w:numPr>
              <w:spacing w:after="0"/>
              <w:ind w:left="283" w:hanging="283"/>
              <w:jc w:val="both"/>
              <w:rPr>
                <w:rFonts w:ascii="Arial" w:hAnsi="Arial" w:cs="Arial"/>
                <w:sz w:val="20"/>
                <w:szCs w:val="20"/>
              </w:rPr>
            </w:pPr>
            <w:r w:rsidRPr="00560482">
              <w:rPr>
                <w:rFonts w:ascii="Arial" w:hAnsi="Arial" w:cs="Arial"/>
                <w:sz w:val="20"/>
                <w:szCs w:val="20"/>
              </w:rPr>
              <w:t xml:space="preserve">Build a strong pipeline of talent and succession across </w:t>
            </w:r>
            <w:r w:rsidR="00753509" w:rsidRPr="00560482">
              <w:rPr>
                <w:rFonts w:ascii="Arial" w:hAnsi="Arial" w:cs="Arial"/>
                <w:sz w:val="20"/>
                <w:szCs w:val="20"/>
              </w:rPr>
              <w:t>People and Culture</w:t>
            </w:r>
            <w:r w:rsidRPr="00560482">
              <w:rPr>
                <w:rFonts w:ascii="Arial" w:hAnsi="Arial" w:cs="Arial"/>
                <w:sz w:val="20"/>
                <w:szCs w:val="20"/>
              </w:rPr>
              <w:t xml:space="preserve"> for the benefit of MPS which will mitigate workforce planning risks and maximises the performance and potential of employees</w:t>
            </w:r>
          </w:p>
          <w:p w14:paraId="1690F44D" w14:textId="77777777" w:rsidR="004249E8" w:rsidRPr="00560482" w:rsidRDefault="004249E8" w:rsidP="00EB0F5E">
            <w:pPr>
              <w:pStyle w:val="ListParagraph"/>
              <w:numPr>
                <w:ilvl w:val="0"/>
                <w:numId w:val="4"/>
              </w:numPr>
              <w:spacing w:after="0"/>
              <w:ind w:left="283" w:hanging="283"/>
              <w:jc w:val="both"/>
              <w:rPr>
                <w:rFonts w:ascii="Arial" w:hAnsi="Arial" w:cs="Arial"/>
                <w:sz w:val="20"/>
                <w:szCs w:val="20"/>
              </w:rPr>
            </w:pPr>
            <w:r w:rsidRPr="00560482">
              <w:rPr>
                <w:rFonts w:ascii="Arial" w:hAnsi="Arial" w:cs="Arial"/>
                <w:sz w:val="20"/>
                <w:szCs w:val="20"/>
              </w:rPr>
              <w:t>Coach</w:t>
            </w:r>
            <w:r w:rsidR="0037486B">
              <w:rPr>
                <w:rFonts w:ascii="Arial" w:hAnsi="Arial" w:cs="Arial"/>
                <w:sz w:val="20"/>
                <w:szCs w:val="20"/>
              </w:rPr>
              <w:t xml:space="preserve"> </w:t>
            </w:r>
            <w:r w:rsidRPr="00560482">
              <w:rPr>
                <w:rFonts w:ascii="Arial" w:hAnsi="Arial" w:cs="Arial"/>
                <w:sz w:val="20"/>
                <w:szCs w:val="20"/>
              </w:rPr>
              <w:t xml:space="preserve">leaders </w:t>
            </w:r>
            <w:r w:rsidR="00753509" w:rsidRPr="00560482">
              <w:rPr>
                <w:rFonts w:ascii="Arial" w:hAnsi="Arial" w:cs="Arial"/>
                <w:sz w:val="20"/>
                <w:szCs w:val="20"/>
              </w:rPr>
              <w:t xml:space="preserve">across the Finance, Risk and Compliance and Digital and Change division </w:t>
            </w:r>
            <w:r w:rsidRPr="00560482">
              <w:rPr>
                <w:rFonts w:ascii="Arial" w:hAnsi="Arial" w:cs="Arial"/>
                <w:sz w:val="20"/>
                <w:szCs w:val="20"/>
              </w:rPr>
              <w:t>to improve their leadership capability to create a high performing, engaged and diverse team</w:t>
            </w:r>
            <w:r w:rsidR="00560482">
              <w:rPr>
                <w:rFonts w:ascii="Arial" w:hAnsi="Arial" w:cs="Arial"/>
                <w:sz w:val="20"/>
                <w:szCs w:val="20"/>
              </w:rPr>
              <w:t>s</w:t>
            </w:r>
          </w:p>
          <w:p w14:paraId="51F8E079" w14:textId="77777777" w:rsidR="00753509" w:rsidRPr="00B75089" w:rsidRDefault="005C2F90" w:rsidP="00EB0F5E">
            <w:pPr>
              <w:pStyle w:val="ListParagraph"/>
              <w:numPr>
                <w:ilvl w:val="0"/>
                <w:numId w:val="4"/>
              </w:numPr>
              <w:spacing w:after="0"/>
              <w:ind w:left="283" w:hanging="283"/>
              <w:jc w:val="both"/>
              <w:rPr>
                <w:rFonts w:ascii="Arial" w:hAnsi="Arial" w:cs="Arial"/>
                <w:sz w:val="20"/>
                <w:szCs w:val="20"/>
              </w:rPr>
            </w:pPr>
            <w:r w:rsidRPr="00560482">
              <w:rPr>
                <w:rFonts w:ascii="Arial" w:hAnsi="Arial" w:cs="Arial"/>
                <w:sz w:val="20"/>
                <w:szCs w:val="20"/>
              </w:rPr>
              <w:t xml:space="preserve">Promote positive employee relations and champion a community environment which enables the diversity </w:t>
            </w:r>
            <w:r w:rsidR="00560482">
              <w:rPr>
                <w:rFonts w:ascii="Arial" w:hAnsi="Arial" w:cs="Arial"/>
                <w:sz w:val="20"/>
                <w:szCs w:val="20"/>
              </w:rPr>
              <w:t>agenda, well</w:t>
            </w:r>
            <w:r w:rsidRPr="00560482">
              <w:rPr>
                <w:rFonts w:ascii="Arial" w:hAnsi="Arial" w:cs="Arial"/>
                <w:sz w:val="20"/>
                <w:szCs w:val="20"/>
              </w:rPr>
              <w:t>being of our colleagues and builds our reputation in the market place as a positive employer brand</w:t>
            </w:r>
          </w:p>
        </w:tc>
        <w:tc>
          <w:tcPr>
            <w:tcW w:w="4141" w:type="dxa"/>
          </w:tcPr>
          <w:p w14:paraId="53C86C21" w14:textId="77777777" w:rsidR="009E22D0" w:rsidRPr="00B75089" w:rsidRDefault="009E22D0" w:rsidP="00EB0F5E">
            <w:pPr>
              <w:pStyle w:val="ListParagraph"/>
              <w:numPr>
                <w:ilvl w:val="0"/>
                <w:numId w:val="4"/>
              </w:numPr>
              <w:spacing w:before="0" w:beforeAutospacing="0" w:after="0" w:afterAutospacing="0"/>
              <w:ind w:left="459"/>
              <w:jc w:val="both"/>
              <w:rPr>
                <w:rFonts w:ascii="Arial" w:hAnsi="Arial" w:cs="Arial"/>
                <w:sz w:val="20"/>
                <w:szCs w:val="20"/>
              </w:rPr>
            </w:pPr>
            <w:r w:rsidRPr="00B75089">
              <w:rPr>
                <w:rFonts w:ascii="Arial" w:hAnsi="Arial" w:cs="Arial"/>
                <w:sz w:val="20"/>
                <w:szCs w:val="20"/>
              </w:rPr>
              <w:t>Engagement Index Vs MPS</w:t>
            </w:r>
          </w:p>
          <w:p w14:paraId="4AE91696" w14:textId="77777777" w:rsidR="009E22D0" w:rsidRPr="00B75089" w:rsidRDefault="009E22D0" w:rsidP="00EB0F5E">
            <w:pPr>
              <w:pStyle w:val="ListParagraph"/>
              <w:numPr>
                <w:ilvl w:val="0"/>
                <w:numId w:val="4"/>
              </w:numPr>
              <w:spacing w:before="0" w:beforeAutospacing="0" w:after="0" w:afterAutospacing="0"/>
              <w:ind w:left="459"/>
              <w:jc w:val="both"/>
              <w:rPr>
                <w:rFonts w:ascii="Arial" w:hAnsi="Arial" w:cs="Arial"/>
                <w:sz w:val="20"/>
                <w:szCs w:val="20"/>
              </w:rPr>
            </w:pPr>
            <w:r w:rsidRPr="00B75089">
              <w:rPr>
                <w:rFonts w:ascii="Arial" w:hAnsi="Arial" w:cs="Arial"/>
                <w:sz w:val="20"/>
                <w:szCs w:val="20"/>
              </w:rPr>
              <w:t>Leadership Index Vs MPS</w:t>
            </w:r>
          </w:p>
          <w:p w14:paraId="6B146835" w14:textId="77777777" w:rsidR="009E22D0" w:rsidRPr="00B75089" w:rsidRDefault="009E22D0" w:rsidP="00EB0F5E">
            <w:pPr>
              <w:pStyle w:val="ListParagraph"/>
              <w:numPr>
                <w:ilvl w:val="0"/>
                <w:numId w:val="4"/>
              </w:numPr>
              <w:spacing w:before="0" w:beforeAutospacing="0" w:after="0" w:afterAutospacing="0"/>
              <w:ind w:left="459"/>
              <w:jc w:val="both"/>
              <w:rPr>
                <w:rFonts w:ascii="Arial" w:hAnsi="Arial" w:cs="Arial"/>
                <w:sz w:val="20"/>
                <w:szCs w:val="20"/>
              </w:rPr>
            </w:pPr>
            <w:r w:rsidRPr="00B75089">
              <w:rPr>
                <w:rFonts w:ascii="Arial" w:hAnsi="Arial" w:cs="Arial"/>
                <w:sz w:val="20"/>
                <w:szCs w:val="20"/>
              </w:rPr>
              <w:t>Strong Talent and Succession Plans</w:t>
            </w:r>
          </w:p>
          <w:p w14:paraId="08EEB2CB" w14:textId="77777777" w:rsidR="009E22D0" w:rsidRPr="00B75089" w:rsidRDefault="009E22D0" w:rsidP="00EB0F5E">
            <w:pPr>
              <w:pStyle w:val="ListParagraph"/>
              <w:numPr>
                <w:ilvl w:val="0"/>
                <w:numId w:val="4"/>
              </w:numPr>
              <w:tabs>
                <w:tab w:val="left" w:pos="3145"/>
              </w:tabs>
              <w:spacing w:before="0" w:beforeAutospacing="0" w:after="0" w:afterAutospacing="0"/>
              <w:ind w:left="459"/>
              <w:jc w:val="both"/>
              <w:rPr>
                <w:rFonts w:ascii="Arial" w:hAnsi="Arial" w:cs="Arial"/>
                <w:sz w:val="20"/>
                <w:szCs w:val="20"/>
              </w:rPr>
            </w:pPr>
            <w:r w:rsidRPr="00B75089">
              <w:rPr>
                <w:rFonts w:ascii="Arial" w:hAnsi="Arial" w:cs="Arial"/>
                <w:sz w:val="20"/>
                <w:szCs w:val="20"/>
              </w:rPr>
              <w:t>HR Metrics – attrition, absence</w:t>
            </w:r>
            <w:r w:rsidRPr="00B75089">
              <w:rPr>
                <w:rFonts w:ascii="Arial" w:hAnsi="Arial" w:cs="Arial"/>
                <w:sz w:val="20"/>
                <w:szCs w:val="20"/>
              </w:rPr>
              <w:tab/>
            </w:r>
          </w:p>
        </w:tc>
      </w:tr>
      <w:tr w:rsidR="009E22D0" w:rsidRPr="00B75089" w14:paraId="15F6E129" w14:textId="77777777" w:rsidTr="00560482">
        <w:trPr>
          <w:trHeight w:val="1916"/>
        </w:trPr>
        <w:tc>
          <w:tcPr>
            <w:tcW w:w="6346" w:type="dxa"/>
          </w:tcPr>
          <w:p w14:paraId="69057A35" w14:textId="77777777" w:rsidR="009E22D0" w:rsidRPr="00B75089" w:rsidRDefault="009E22D0" w:rsidP="00560482">
            <w:pPr>
              <w:spacing w:after="0" w:line="240" w:lineRule="auto"/>
              <w:jc w:val="both"/>
              <w:rPr>
                <w:rFonts w:ascii="Arial" w:hAnsi="Arial" w:cs="Arial"/>
                <w:b/>
                <w:sz w:val="20"/>
                <w:szCs w:val="20"/>
              </w:rPr>
            </w:pPr>
            <w:r w:rsidRPr="00B75089">
              <w:rPr>
                <w:rFonts w:ascii="Arial" w:hAnsi="Arial" w:cs="Arial"/>
                <w:b/>
                <w:sz w:val="20"/>
                <w:szCs w:val="20"/>
              </w:rPr>
              <w:t>Risk</w:t>
            </w:r>
          </w:p>
          <w:p w14:paraId="122E34A0" w14:textId="77777777" w:rsidR="005817D2" w:rsidRPr="00560482" w:rsidRDefault="005817D2" w:rsidP="00EB0F5E">
            <w:pPr>
              <w:pStyle w:val="ListParagraph"/>
              <w:numPr>
                <w:ilvl w:val="0"/>
                <w:numId w:val="16"/>
              </w:numPr>
              <w:spacing w:before="0" w:beforeAutospacing="0" w:after="0" w:afterAutospacing="0"/>
              <w:ind w:left="283" w:hanging="283"/>
              <w:jc w:val="both"/>
              <w:rPr>
                <w:rFonts w:ascii="Arial" w:hAnsi="Arial" w:cs="Arial"/>
                <w:sz w:val="20"/>
                <w:szCs w:val="20"/>
              </w:rPr>
            </w:pPr>
            <w:r w:rsidRPr="00560482">
              <w:rPr>
                <w:rFonts w:ascii="Arial" w:hAnsi="Arial" w:cs="Arial"/>
                <w:sz w:val="20"/>
                <w:szCs w:val="20"/>
              </w:rPr>
              <w:t xml:space="preserve">Create an environment where all colleagues in </w:t>
            </w:r>
            <w:r w:rsidR="00753509" w:rsidRPr="00560482">
              <w:rPr>
                <w:rFonts w:ascii="Arial" w:hAnsi="Arial" w:cs="Arial"/>
                <w:sz w:val="20"/>
                <w:szCs w:val="20"/>
              </w:rPr>
              <w:t>People and Culture</w:t>
            </w:r>
            <w:r w:rsidRPr="00560482">
              <w:rPr>
                <w:rFonts w:ascii="Arial" w:hAnsi="Arial" w:cs="Arial"/>
                <w:sz w:val="20"/>
                <w:szCs w:val="20"/>
              </w:rPr>
              <w:t xml:space="preserve"> recognise the importance of risk identification and management </w:t>
            </w:r>
          </w:p>
          <w:p w14:paraId="11A58AC9" w14:textId="77777777" w:rsidR="004249E8" w:rsidRPr="00560482" w:rsidRDefault="004249E8" w:rsidP="00EB0F5E">
            <w:pPr>
              <w:pStyle w:val="ListParagraph"/>
              <w:numPr>
                <w:ilvl w:val="0"/>
                <w:numId w:val="16"/>
              </w:numPr>
              <w:spacing w:after="0"/>
              <w:ind w:left="283" w:hanging="283"/>
              <w:jc w:val="both"/>
              <w:rPr>
                <w:rFonts w:ascii="Arial" w:hAnsi="Arial" w:cs="Arial"/>
                <w:sz w:val="20"/>
                <w:szCs w:val="20"/>
              </w:rPr>
            </w:pPr>
            <w:r w:rsidRPr="00560482">
              <w:rPr>
                <w:rFonts w:ascii="Arial" w:hAnsi="Arial" w:cs="Arial"/>
                <w:sz w:val="20"/>
                <w:szCs w:val="20"/>
              </w:rPr>
              <w:t>Lead the design and implementation of an effective People Policy framework which supports effective People risk management across the business, ensuring that all people policies and practices are fair and transparent and in line with the values of the organisation.</w:t>
            </w:r>
          </w:p>
        </w:tc>
        <w:tc>
          <w:tcPr>
            <w:tcW w:w="4141" w:type="dxa"/>
          </w:tcPr>
          <w:p w14:paraId="16C9FE63" w14:textId="77777777" w:rsidR="004762DC" w:rsidRPr="004762DC" w:rsidRDefault="009E22D0" w:rsidP="00EB0F5E">
            <w:pPr>
              <w:pStyle w:val="ListParagraph"/>
              <w:numPr>
                <w:ilvl w:val="0"/>
                <w:numId w:val="5"/>
              </w:numPr>
              <w:spacing w:before="0" w:beforeAutospacing="0" w:after="0" w:afterAutospacing="0"/>
              <w:ind w:left="459"/>
              <w:jc w:val="both"/>
              <w:rPr>
                <w:rFonts w:ascii="Arial" w:hAnsi="Arial" w:cs="Arial"/>
                <w:sz w:val="20"/>
                <w:szCs w:val="20"/>
              </w:rPr>
            </w:pPr>
            <w:r w:rsidRPr="00B75089">
              <w:rPr>
                <w:rFonts w:ascii="Arial" w:eastAsia="Calibri" w:hAnsi="Arial" w:cs="Arial"/>
                <w:sz w:val="20"/>
                <w:szCs w:val="20"/>
              </w:rPr>
              <w:t xml:space="preserve">Risk &amp; Control </w:t>
            </w:r>
            <w:r w:rsidR="004762DC">
              <w:rPr>
                <w:rFonts w:ascii="Arial" w:eastAsia="Calibri" w:hAnsi="Arial" w:cs="Arial"/>
                <w:sz w:val="20"/>
                <w:szCs w:val="20"/>
              </w:rPr>
              <w:t>Self- Assessment</w:t>
            </w:r>
          </w:p>
          <w:p w14:paraId="5E30ECBC" w14:textId="77777777" w:rsidR="009E22D0" w:rsidRPr="00B75089" w:rsidRDefault="009E22D0" w:rsidP="00EB0F5E">
            <w:pPr>
              <w:pStyle w:val="ListParagraph"/>
              <w:numPr>
                <w:ilvl w:val="0"/>
                <w:numId w:val="5"/>
              </w:numPr>
              <w:spacing w:before="0" w:beforeAutospacing="0" w:after="0" w:afterAutospacing="0"/>
              <w:ind w:left="459"/>
              <w:jc w:val="both"/>
              <w:rPr>
                <w:rFonts w:ascii="Arial" w:hAnsi="Arial" w:cs="Arial"/>
                <w:sz w:val="20"/>
                <w:szCs w:val="20"/>
              </w:rPr>
            </w:pPr>
            <w:r w:rsidRPr="00B75089">
              <w:rPr>
                <w:rFonts w:ascii="Arial" w:eastAsia="Calibri" w:hAnsi="Arial" w:cs="Arial"/>
                <w:sz w:val="20"/>
                <w:szCs w:val="20"/>
              </w:rPr>
              <w:t>Audit Actions</w:t>
            </w:r>
          </w:p>
        </w:tc>
      </w:tr>
    </w:tbl>
    <w:p w14:paraId="3B2894D9" w14:textId="77777777" w:rsidR="00FB4711" w:rsidRPr="00B75089" w:rsidRDefault="00FB4711" w:rsidP="00560482">
      <w:pPr>
        <w:spacing w:after="0" w:line="240" w:lineRule="auto"/>
        <w:jc w:val="both"/>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2CE12D0A" w14:textId="77777777" w:rsidTr="00FF16B8">
        <w:trPr>
          <w:trHeight w:val="456"/>
        </w:trPr>
        <w:tc>
          <w:tcPr>
            <w:tcW w:w="10490" w:type="dxa"/>
            <w:shd w:val="clear" w:color="auto" w:fill="D9D9D9" w:themeFill="background1" w:themeFillShade="D9"/>
          </w:tcPr>
          <w:p w14:paraId="1EE31017"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p>
          <w:p w14:paraId="07ED123C" w14:textId="77777777" w:rsidR="009E22D0" w:rsidRPr="00B75089" w:rsidRDefault="009E22D0"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5159496" w14:textId="77777777" w:rsidTr="00FF16B8">
        <w:trPr>
          <w:trHeight w:val="693"/>
        </w:trPr>
        <w:tc>
          <w:tcPr>
            <w:tcW w:w="10490" w:type="dxa"/>
          </w:tcPr>
          <w:p w14:paraId="558996AC" w14:textId="77777777" w:rsidR="004249E8" w:rsidRPr="00560482" w:rsidRDefault="004249E8" w:rsidP="00560482">
            <w:pPr>
              <w:pStyle w:val="ListParagraph"/>
              <w:numPr>
                <w:ilvl w:val="0"/>
                <w:numId w:val="17"/>
              </w:numPr>
              <w:spacing w:before="0" w:beforeAutospacing="0" w:after="0" w:afterAutospacing="0"/>
              <w:jc w:val="both"/>
              <w:rPr>
                <w:rFonts w:ascii="Arial" w:hAnsi="Arial" w:cs="Arial"/>
                <w:sz w:val="20"/>
                <w:szCs w:val="20"/>
              </w:rPr>
            </w:pPr>
            <w:r w:rsidRPr="00560482">
              <w:rPr>
                <w:rFonts w:ascii="Arial" w:hAnsi="Arial" w:cs="Arial"/>
                <w:sz w:val="20"/>
                <w:szCs w:val="20"/>
              </w:rPr>
              <w:t>As the HR landscape continually changes, keep abreast of evolving legislation and best practice; recommend opportunities for MPS to become more efficient and effective in People and Culture practices</w:t>
            </w:r>
          </w:p>
          <w:p w14:paraId="1A662D9D" w14:textId="77777777" w:rsidR="00560482" w:rsidRPr="00560482" w:rsidRDefault="004249E8" w:rsidP="00560482">
            <w:pPr>
              <w:pStyle w:val="ListParagraph"/>
              <w:numPr>
                <w:ilvl w:val="0"/>
                <w:numId w:val="17"/>
              </w:numPr>
              <w:spacing w:before="0" w:beforeAutospacing="0" w:after="0" w:afterAutospacing="0"/>
              <w:jc w:val="both"/>
              <w:rPr>
                <w:rFonts w:ascii="Arial" w:hAnsi="Arial" w:cs="Arial"/>
                <w:sz w:val="20"/>
                <w:szCs w:val="20"/>
              </w:rPr>
            </w:pPr>
            <w:r w:rsidRPr="00560482">
              <w:rPr>
                <w:rFonts w:ascii="Arial" w:hAnsi="Arial" w:cs="Arial"/>
                <w:sz w:val="20"/>
                <w:szCs w:val="20"/>
              </w:rPr>
              <w:t>Maintain understanding of HR best practice in order to promote high performance, coach and develop other members of the People &amp; Culture department and demonstrate values and behaviours in accordance with company standards.</w:t>
            </w:r>
          </w:p>
          <w:p w14:paraId="5CF08D71" w14:textId="77777777" w:rsidR="00753509" w:rsidRPr="001A22E9" w:rsidRDefault="00560482" w:rsidP="00560482">
            <w:pPr>
              <w:pStyle w:val="ListParagraph"/>
              <w:numPr>
                <w:ilvl w:val="0"/>
                <w:numId w:val="17"/>
              </w:numPr>
              <w:spacing w:before="0" w:beforeAutospacing="0" w:after="0" w:afterAutospacing="0"/>
              <w:jc w:val="both"/>
              <w:rPr>
                <w:rFonts w:ascii="Arial" w:hAnsi="Arial" w:cs="Arial"/>
                <w:sz w:val="20"/>
                <w:szCs w:val="20"/>
              </w:rPr>
            </w:pPr>
            <w:r w:rsidRPr="001A22E9">
              <w:rPr>
                <w:rFonts w:ascii="Arial" w:hAnsi="Arial" w:cs="Arial"/>
                <w:sz w:val="20"/>
                <w:szCs w:val="20"/>
              </w:rPr>
              <w:t>Build a strong internal and external network to inform continuous professional development, and contribute thought-leadership on people policies and practice that will further enhance People and Culture’s contribution to business performance</w:t>
            </w:r>
            <w:r w:rsidR="001A22E9" w:rsidRPr="001A22E9">
              <w:rPr>
                <w:rFonts w:ascii="Arial" w:hAnsi="Arial" w:cs="Arial"/>
                <w:sz w:val="20"/>
                <w:szCs w:val="20"/>
              </w:rPr>
              <w:t>.</w:t>
            </w:r>
          </w:p>
          <w:p w14:paraId="136F04BD" w14:textId="77777777" w:rsidR="009E22D0" w:rsidRPr="00560482" w:rsidRDefault="004D18E8" w:rsidP="00560482">
            <w:pPr>
              <w:pStyle w:val="ListParagraph"/>
              <w:numPr>
                <w:ilvl w:val="0"/>
                <w:numId w:val="17"/>
              </w:numPr>
              <w:spacing w:before="0" w:beforeAutospacing="0" w:after="0" w:afterAutospacing="0"/>
              <w:jc w:val="both"/>
              <w:rPr>
                <w:rFonts w:ascii="Arial" w:hAnsi="Arial" w:cs="Arial"/>
                <w:sz w:val="20"/>
                <w:szCs w:val="20"/>
              </w:rPr>
            </w:pPr>
            <w:r w:rsidRPr="00560482">
              <w:rPr>
                <w:rFonts w:ascii="Arial" w:hAnsi="Arial" w:cs="Arial"/>
                <w:sz w:val="20"/>
                <w:szCs w:val="20"/>
              </w:rPr>
              <w:t>Undertaking other duties and tasks that from time to time may be allocated to the role holder that are appropriate to the level or role.</w:t>
            </w:r>
          </w:p>
        </w:tc>
      </w:tr>
    </w:tbl>
    <w:p w14:paraId="47F214BC" w14:textId="77777777" w:rsidR="009E22D0" w:rsidRDefault="009E22D0" w:rsidP="00560482">
      <w:pPr>
        <w:spacing w:after="0" w:line="240" w:lineRule="auto"/>
        <w:jc w:val="both"/>
        <w:rPr>
          <w:rFonts w:ascii="Arial" w:hAnsi="Arial" w:cs="Arial"/>
        </w:rPr>
      </w:pPr>
    </w:p>
    <w:p w14:paraId="2D124CC3" w14:textId="77777777" w:rsidR="00D7017E" w:rsidRDefault="00D7017E" w:rsidP="00560482">
      <w:pPr>
        <w:spacing w:after="0" w:line="240" w:lineRule="auto"/>
        <w:jc w:val="both"/>
        <w:rPr>
          <w:rFonts w:ascii="Arial" w:hAnsi="Arial" w:cs="Arial"/>
        </w:rPr>
      </w:pPr>
    </w:p>
    <w:p w14:paraId="32178DDD" w14:textId="77777777" w:rsidR="00D7017E" w:rsidRDefault="00D7017E" w:rsidP="00560482">
      <w:pPr>
        <w:spacing w:after="0" w:line="240" w:lineRule="auto"/>
        <w:jc w:val="both"/>
        <w:rPr>
          <w:rFonts w:ascii="Arial" w:hAnsi="Arial" w:cs="Arial"/>
        </w:rPr>
      </w:pPr>
    </w:p>
    <w:p w14:paraId="4CAA1387" w14:textId="77777777" w:rsidR="00D7017E" w:rsidRPr="00B75089" w:rsidRDefault="00D7017E" w:rsidP="00560482">
      <w:pPr>
        <w:spacing w:after="0" w:line="240" w:lineRule="auto"/>
        <w:jc w:val="both"/>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32817122" w14:textId="77777777" w:rsidTr="007F42E6">
        <w:trPr>
          <w:trHeight w:val="456"/>
        </w:trPr>
        <w:tc>
          <w:tcPr>
            <w:tcW w:w="10490" w:type="dxa"/>
            <w:shd w:val="clear" w:color="auto" w:fill="D9D9D9" w:themeFill="background1" w:themeFillShade="D9"/>
          </w:tcPr>
          <w:p w14:paraId="33BBFD62" w14:textId="77777777" w:rsidR="005542D1" w:rsidRPr="00B75089" w:rsidRDefault="005542D1" w:rsidP="00560482">
            <w:pPr>
              <w:widowControl w:val="0"/>
              <w:autoSpaceDE w:val="0"/>
              <w:autoSpaceDN w:val="0"/>
              <w:adjustRightInd w:val="0"/>
              <w:spacing w:after="0" w:line="240" w:lineRule="auto"/>
              <w:jc w:val="both"/>
              <w:rPr>
                <w:rFonts w:ascii="Arial" w:hAnsi="Arial" w:cs="Arial"/>
                <w:b/>
                <w:sz w:val="20"/>
                <w:szCs w:val="20"/>
              </w:rPr>
            </w:pPr>
          </w:p>
          <w:p w14:paraId="4DF45C30" w14:textId="77777777" w:rsidR="005542D1" w:rsidRPr="00B75089" w:rsidRDefault="005542D1"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Key Governance Responsibilities</w:t>
            </w:r>
          </w:p>
        </w:tc>
      </w:tr>
      <w:tr w:rsidR="005542D1" w:rsidRPr="00B75089" w14:paraId="0CF7575D" w14:textId="77777777" w:rsidTr="007F42E6">
        <w:trPr>
          <w:trHeight w:val="693"/>
        </w:trPr>
        <w:tc>
          <w:tcPr>
            <w:tcW w:w="10490" w:type="dxa"/>
          </w:tcPr>
          <w:p w14:paraId="2ADDFB12" w14:textId="77777777" w:rsidR="005542D1" w:rsidRDefault="00753509" w:rsidP="00560482">
            <w:pPr>
              <w:pStyle w:val="ListParagraph"/>
              <w:numPr>
                <w:ilvl w:val="0"/>
                <w:numId w:val="12"/>
              </w:numPr>
              <w:spacing w:before="0" w:beforeAutospacing="0" w:after="0" w:afterAutospacing="0"/>
              <w:ind w:left="357" w:firstLine="0"/>
              <w:jc w:val="both"/>
              <w:rPr>
                <w:rFonts w:ascii="Arial" w:hAnsi="Arial" w:cs="Arial"/>
                <w:sz w:val="20"/>
                <w:szCs w:val="20"/>
              </w:rPr>
            </w:pPr>
            <w:r>
              <w:rPr>
                <w:rFonts w:ascii="Arial" w:hAnsi="Arial" w:cs="Arial"/>
                <w:sz w:val="20"/>
                <w:szCs w:val="20"/>
              </w:rPr>
              <w:t>Data Protection- Data Protection Representative</w:t>
            </w:r>
          </w:p>
          <w:p w14:paraId="20F5B396" w14:textId="77777777" w:rsidR="00753509" w:rsidRPr="00B75089" w:rsidRDefault="00753509" w:rsidP="00560482">
            <w:pPr>
              <w:pStyle w:val="ListParagraph"/>
              <w:numPr>
                <w:ilvl w:val="0"/>
                <w:numId w:val="12"/>
              </w:numPr>
              <w:spacing w:before="0" w:beforeAutospacing="0" w:after="0" w:afterAutospacing="0"/>
              <w:ind w:left="357" w:firstLine="0"/>
              <w:jc w:val="both"/>
              <w:rPr>
                <w:rFonts w:ascii="Arial" w:hAnsi="Arial" w:cs="Arial"/>
                <w:sz w:val="20"/>
                <w:szCs w:val="20"/>
              </w:rPr>
            </w:pPr>
            <w:r>
              <w:rPr>
                <w:rFonts w:ascii="Arial" w:hAnsi="Arial" w:cs="Arial"/>
                <w:sz w:val="20"/>
                <w:szCs w:val="20"/>
              </w:rPr>
              <w:t xml:space="preserve">TBC – People and Culture governance </w:t>
            </w:r>
          </w:p>
        </w:tc>
      </w:tr>
    </w:tbl>
    <w:p w14:paraId="07DF4469" w14:textId="77777777" w:rsidR="00560482" w:rsidRPr="00B75089" w:rsidRDefault="00560482" w:rsidP="00560482">
      <w:pPr>
        <w:spacing w:after="0" w:line="240" w:lineRule="auto"/>
        <w:jc w:val="both"/>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7CAB1973" w14:textId="77777777" w:rsidTr="00FF16B8">
        <w:trPr>
          <w:trHeight w:val="310"/>
        </w:trPr>
        <w:tc>
          <w:tcPr>
            <w:tcW w:w="6008" w:type="dxa"/>
            <w:shd w:val="clear" w:color="auto" w:fill="D9D9D9" w:themeFill="background1" w:themeFillShade="D9"/>
          </w:tcPr>
          <w:p w14:paraId="1B501769" w14:textId="77777777" w:rsidR="0056188D" w:rsidRPr="00B75089" w:rsidRDefault="0056188D" w:rsidP="00560482">
            <w:pPr>
              <w:widowControl w:val="0"/>
              <w:autoSpaceDE w:val="0"/>
              <w:autoSpaceDN w:val="0"/>
              <w:adjustRightInd w:val="0"/>
              <w:spacing w:after="0" w:line="240" w:lineRule="auto"/>
              <w:jc w:val="both"/>
              <w:rPr>
                <w:rFonts w:ascii="Arial" w:hAnsi="Arial" w:cs="Arial"/>
                <w:b/>
                <w:sz w:val="20"/>
                <w:szCs w:val="20"/>
              </w:rPr>
            </w:pPr>
          </w:p>
          <w:p w14:paraId="6A9ED183" w14:textId="77777777" w:rsidR="0056188D" w:rsidRPr="00B75089" w:rsidRDefault="00C91CFA"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69D87B89" w14:textId="77777777" w:rsidR="0056188D" w:rsidRPr="00B75089" w:rsidRDefault="0056188D" w:rsidP="00560482">
            <w:pPr>
              <w:widowControl w:val="0"/>
              <w:autoSpaceDE w:val="0"/>
              <w:autoSpaceDN w:val="0"/>
              <w:adjustRightInd w:val="0"/>
              <w:spacing w:after="0" w:line="240" w:lineRule="auto"/>
              <w:jc w:val="both"/>
              <w:rPr>
                <w:rFonts w:ascii="Arial" w:hAnsi="Arial" w:cs="Arial"/>
                <w:b/>
                <w:sz w:val="20"/>
                <w:szCs w:val="20"/>
              </w:rPr>
            </w:pPr>
          </w:p>
          <w:p w14:paraId="310814A8" w14:textId="77777777" w:rsidR="0056188D" w:rsidRPr="00B75089" w:rsidRDefault="00C91CFA" w:rsidP="00560482">
            <w:pPr>
              <w:widowControl w:val="0"/>
              <w:autoSpaceDE w:val="0"/>
              <w:autoSpaceDN w:val="0"/>
              <w:adjustRightInd w:val="0"/>
              <w:spacing w:after="0" w:line="240" w:lineRule="auto"/>
              <w:jc w:val="both"/>
              <w:rPr>
                <w:rFonts w:ascii="Arial" w:hAnsi="Arial" w:cs="Arial"/>
                <w:b/>
                <w:sz w:val="20"/>
                <w:szCs w:val="20"/>
              </w:rPr>
            </w:pPr>
            <w:r w:rsidRPr="00B75089">
              <w:rPr>
                <w:rFonts w:ascii="Arial" w:hAnsi="Arial" w:cs="Arial"/>
                <w:b/>
                <w:sz w:val="20"/>
                <w:szCs w:val="20"/>
              </w:rPr>
              <w:t>Level</w:t>
            </w:r>
          </w:p>
          <w:p w14:paraId="1E0D3B5D" w14:textId="77777777" w:rsidR="0056188D" w:rsidRPr="00B75089" w:rsidRDefault="0056188D" w:rsidP="00560482">
            <w:pPr>
              <w:widowControl w:val="0"/>
              <w:autoSpaceDE w:val="0"/>
              <w:autoSpaceDN w:val="0"/>
              <w:adjustRightInd w:val="0"/>
              <w:spacing w:after="0" w:line="240" w:lineRule="auto"/>
              <w:jc w:val="both"/>
              <w:rPr>
                <w:rFonts w:ascii="Arial" w:hAnsi="Arial" w:cs="Arial"/>
                <w:i/>
                <w:sz w:val="20"/>
                <w:szCs w:val="20"/>
              </w:rPr>
            </w:pPr>
          </w:p>
        </w:tc>
      </w:tr>
      <w:tr w:rsidR="0056188D" w:rsidRPr="00B75089" w14:paraId="59A5C21D" w14:textId="77777777" w:rsidTr="00FF16B8">
        <w:trPr>
          <w:trHeight w:val="211"/>
        </w:trPr>
        <w:tc>
          <w:tcPr>
            <w:tcW w:w="6008" w:type="dxa"/>
          </w:tcPr>
          <w:p w14:paraId="4AFC5999" w14:textId="77777777" w:rsidR="0056188D" w:rsidRPr="00B75089" w:rsidRDefault="0056188D" w:rsidP="00560482">
            <w:pPr>
              <w:spacing w:after="0" w:line="240" w:lineRule="auto"/>
              <w:jc w:val="both"/>
              <w:rPr>
                <w:rFonts w:ascii="Arial" w:hAnsi="Arial" w:cs="Arial"/>
                <w:sz w:val="20"/>
                <w:szCs w:val="20"/>
              </w:rPr>
            </w:pPr>
            <w:r w:rsidRPr="00B75089">
              <w:rPr>
                <w:rFonts w:ascii="Arial" w:hAnsi="Arial" w:cs="Arial"/>
                <w:sz w:val="20"/>
                <w:szCs w:val="20"/>
              </w:rPr>
              <w:t>Fresh Thinking</w:t>
            </w:r>
          </w:p>
        </w:tc>
        <w:tc>
          <w:tcPr>
            <w:tcW w:w="4482" w:type="dxa"/>
          </w:tcPr>
          <w:p w14:paraId="4E061022" w14:textId="77777777" w:rsidR="0056188D" w:rsidRPr="00B75089" w:rsidRDefault="005817D2" w:rsidP="00EB0F5E">
            <w:pPr>
              <w:spacing w:after="0" w:line="240" w:lineRule="auto"/>
              <w:jc w:val="both"/>
              <w:rPr>
                <w:rFonts w:ascii="Arial" w:hAnsi="Arial" w:cs="Arial"/>
                <w:sz w:val="20"/>
                <w:szCs w:val="20"/>
              </w:rPr>
            </w:pPr>
            <w:r w:rsidRPr="005817D2">
              <w:rPr>
                <w:rFonts w:ascii="Arial" w:hAnsi="Arial" w:cs="Arial"/>
                <w:sz w:val="20"/>
                <w:szCs w:val="20"/>
              </w:rPr>
              <w:t xml:space="preserve">Leading </w:t>
            </w:r>
            <w:r w:rsidR="00EB0F5E">
              <w:rPr>
                <w:rFonts w:ascii="Arial" w:hAnsi="Arial" w:cs="Arial"/>
                <w:sz w:val="20"/>
                <w:szCs w:val="20"/>
              </w:rPr>
              <w:t>Others</w:t>
            </w:r>
          </w:p>
        </w:tc>
      </w:tr>
      <w:tr w:rsidR="004D18E8" w:rsidRPr="00B75089" w14:paraId="6D36FE5A" w14:textId="77777777" w:rsidTr="00FF16B8">
        <w:trPr>
          <w:trHeight w:val="211"/>
        </w:trPr>
        <w:tc>
          <w:tcPr>
            <w:tcW w:w="6008" w:type="dxa"/>
          </w:tcPr>
          <w:p w14:paraId="4714C39A"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02A0C876" w14:textId="77777777" w:rsidR="004D18E8" w:rsidRPr="00B75089" w:rsidRDefault="005817D2" w:rsidP="00560482">
            <w:pPr>
              <w:spacing w:after="0" w:line="240" w:lineRule="auto"/>
              <w:jc w:val="both"/>
              <w:rPr>
                <w:rFonts w:ascii="Arial" w:hAnsi="Arial" w:cs="Arial"/>
              </w:rPr>
            </w:pPr>
            <w:r>
              <w:rPr>
                <w:rFonts w:ascii="Arial" w:hAnsi="Arial" w:cs="Arial"/>
                <w:sz w:val="20"/>
                <w:szCs w:val="20"/>
              </w:rPr>
              <w:t>Leading Others</w:t>
            </w:r>
          </w:p>
        </w:tc>
      </w:tr>
      <w:tr w:rsidR="004D18E8" w:rsidRPr="00B75089" w14:paraId="12A0671F" w14:textId="77777777" w:rsidTr="00FF16B8">
        <w:trPr>
          <w:trHeight w:val="211"/>
        </w:trPr>
        <w:tc>
          <w:tcPr>
            <w:tcW w:w="6008" w:type="dxa"/>
          </w:tcPr>
          <w:p w14:paraId="71C8B855"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Influencing Others</w:t>
            </w:r>
          </w:p>
        </w:tc>
        <w:tc>
          <w:tcPr>
            <w:tcW w:w="4482" w:type="dxa"/>
          </w:tcPr>
          <w:p w14:paraId="3C548C8A" w14:textId="77777777" w:rsidR="004D18E8" w:rsidRPr="00B75089" w:rsidRDefault="005817D2" w:rsidP="00EB0F5E">
            <w:pPr>
              <w:spacing w:after="0" w:line="240" w:lineRule="auto"/>
              <w:jc w:val="both"/>
              <w:rPr>
                <w:rFonts w:ascii="Arial" w:hAnsi="Arial" w:cs="Arial"/>
              </w:rPr>
            </w:pPr>
            <w:r w:rsidRPr="005817D2">
              <w:rPr>
                <w:rFonts w:ascii="Arial" w:hAnsi="Arial" w:cs="Arial"/>
                <w:sz w:val="20"/>
                <w:szCs w:val="20"/>
              </w:rPr>
              <w:t xml:space="preserve">Leading </w:t>
            </w:r>
            <w:r w:rsidR="00EB0F5E">
              <w:rPr>
                <w:rFonts w:ascii="Arial" w:hAnsi="Arial" w:cs="Arial"/>
                <w:sz w:val="20"/>
                <w:szCs w:val="20"/>
              </w:rPr>
              <w:t>Others</w:t>
            </w:r>
          </w:p>
        </w:tc>
      </w:tr>
      <w:tr w:rsidR="004D18E8" w:rsidRPr="00B75089" w14:paraId="1E29DFFB" w14:textId="77777777" w:rsidTr="00FF16B8">
        <w:trPr>
          <w:trHeight w:val="211"/>
        </w:trPr>
        <w:tc>
          <w:tcPr>
            <w:tcW w:w="6008" w:type="dxa"/>
          </w:tcPr>
          <w:p w14:paraId="2EA0D3B3"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6AE63FC9" w14:textId="77777777" w:rsidR="004D18E8" w:rsidRPr="00B75089" w:rsidRDefault="005817D2" w:rsidP="00560482">
            <w:pPr>
              <w:spacing w:after="0" w:line="240" w:lineRule="auto"/>
              <w:jc w:val="both"/>
              <w:rPr>
                <w:rFonts w:ascii="Arial" w:hAnsi="Arial" w:cs="Arial"/>
              </w:rPr>
            </w:pPr>
            <w:r w:rsidRPr="005817D2">
              <w:rPr>
                <w:rFonts w:ascii="Arial" w:hAnsi="Arial" w:cs="Arial"/>
                <w:sz w:val="20"/>
                <w:szCs w:val="20"/>
              </w:rPr>
              <w:t>Leading Others</w:t>
            </w:r>
          </w:p>
        </w:tc>
      </w:tr>
      <w:tr w:rsidR="004D18E8" w:rsidRPr="00B75089" w14:paraId="390875D5" w14:textId="77777777" w:rsidTr="00FF16B8">
        <w:trPr>
          <w:trHeight w:val="211"/>
        </w:trPr>
        <w:tc>
          <w:tcPr>
            <w:tcW w:w="6008" w:type="dxa"/>
          </w:tcPr>
          <w:p w14:paraId="478271A1"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Leading Self and Others</w:t>
            </w:r>
          </w:p>
        </w:tc>
        <w:tc>
          <w:tcPr>
            <w:tcW w:w="4482" w:type="dxa"/>
          </w:tcPr>
          <w:p w14:paraId="724E1855" w14:textId="77777777" w:rsidR="004D18E8" w:rsidRPr="00B75089" w:rsidRDefault="005817D2" w:rsidP="00560482">
            <w:pPr>
              <w:spacing w:after="0" w:line="240" w:lineRule="auto"/>
              <w:jc w:val="both"/>
              <w:rPr>
                <w:rFonts w:ascii="Arial" w:hAnsi="Arial" w:cs="Arial"/>
              </w:rPr>
            </w:pPr>
            <w:r w:rsidRPr="005817D2">
              <w:rPr>
                <w:rFonts w:ascii="Arial" w:hAnsi="Arial" w:cs="Arial"/>
                <w:sz w:val="20"/>
                <w:szCs w:val="20"/>
              </w:rPr>
              <w:t>Leading Others</w:t>
            </w:r>
          </w:p>
        </w:tc>
      </w:tr>
      <w:tr w:rsidR="004D18E8" w:rsidRPr="00B75089" w14:paraId="1A6078EE" w14:textId="77777777" w:rsidTr="00FF16B8">
        <w:trPr>
          <w:trHeight w:val="211"/>
        </w:trPr>
        <w:tc>
          <w:tcPr>
            <w:tcW w:w="6008" w:type="dxa"/>
          </w:tcPr>
          <w:p w14:paraId="149D3716" w14:textId="77777777" w:rsidR="004D18E8" w:rsidRPr="00B75089" w:rsidRDefault="004D18E8" w:rsidP="00560482">
            <w:pPr>
              <w:spacing w:after="0" w:line="240" w:lineRule="auto"/>
              <w:jc w:val="both"/>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6E56FE23" w14:textId="77777777" w:rsidR="004D18E8" w:rsidRPr="00B75089" w:rsidRDefault="00560482" w:rsidP="00EB0F5E">
            <w:pPr>
              <w:spacing w:after="0" w:line="240" w:lineRule="auto"/>
              <w:jc w:val="both"/>
              <w:rPr>
                <w:rFonts w:ascii="Arial" w:hAnsi="Arial" w:cs="Arial"/>
              </w:rPr>
            </w:pPr>
            <w:r w:rsidRPr="005817D2">
              <w:rPr>
                <w:rFonts w:ascii="Arial" w:hAnsi="Arial" w:cs="Arial"/>
                <w:sz w:val="20"/>
                <w:szCs w:val="20"/>
              </w:rPr>
              <w:t xml:space="preserve">Leading </w:t>
            </w:r>
            <w:r w:rsidR="00EB0F5E">
              <w:rPr>
                <w:rFonts w:ascii="Arial" w:hAnsi="Arial" w:cs="Arial"/>
                <w:sz w:val="20"/>
                <w:szCs w:val="20"/>
              </w:rPr>
              <w:t>Others</w:t>
            </w:r>
          </w:p>
        </w:tc>
      </w:tr>
    </w:tbl>
    <w:tbl>
      <w:tblPr>
        <w:tblStyle w:val="TableGrid1"/>
        <w:tblpPr w:leftFromText="180" w:rightFromText="180" w:vertAnchor="text" w:horzAnchor="page" w:tblpX="1125" w:tblpY="500"/>
        <w:tblW w:w="10456" w:type="dxa"/>
        <w:tblLayout w:type="fixed"/>
        <w:tblLook w:val="04A0" w:firstRow="1" w:lastRow="0" w:firstColumn="1" w:lastColumn="0" w:noHBand="0" w:noVBand="1"/>
      </w:tblPr>
      <w:tblGrid>
        <w:gridCol w:w="460"/>
        <w:gridCol w:w="2625"/>
        <w:gridCol w:w="3686"/>
        <w:gridCol w:w="3685"/>
      </w:tblGrid>
      <w:tr w:rsidR="00FF16B8" w:rsidRPr="00B75089" w14:paraId="77371532" w14:textId="77777777" w:rsidTr="006326C0">
        <w:trPr>
          <w:trHeight w:val="222"/>
        </w:trPr>
        <w:tc>
          <w:tcPr>
            <w:tcW w:w="460" w:type="dxa"/>
            <w:shd w:val="clear" w:color="auto" w:fill="D9D9D9" w:themeFill="background1" w:themeFillShade="D9"/>
          </w:tcPr>
          <w:p w14:paraId="020C11D0" w14:textId="77777777" w:rsidR="00E40AC5" w:rsidRPr="00B75089" w:rsidRDefault="00E40AC5" w:rsidP="00560482">
            <w:pPr>
              <w:spacing w:beforeAutospacing="0" w:after="0" w:afterAutospacing="0" w:line="240" w:lineRule="auto"/>
              <w:jc w:val="both"/>
              <w:rPr>
                <w:rFonts w:ascii="Arial" w:hAnsi="Arial" w:cs="Arial"/>
                <w:b/>
                <w:sz w:val="20"/>
                <w:szCs w:val="20"/>
              </w:rPr>
            </w:pPr>
            <w:r w:rsidRPr="00B75089">
              <w:rPr>
                <w:rFonts w:ascii="Arial" w:hAnsi="Arial" w:cs="Arial"/>
                <w:b/>
                <w:sz w:val="20"/>
                <w:szCs w:val="20"/>
              </w:rPr>
              <w:t xml:space="preserve"> </w:t>
            </w:r>
          </w:p>
        </w:tc>
        <w:tc>
          <w:tcPr>
            <w:tcW w:w="2625" w:type="dxa"/>
            <w:shd w:val="clear" w:color="auto" w:fill="D9D9D9" w:themeFill="background1" w:themeFillShade="D9"/>
          </w:tcPr>
          <w:p w14:paraId="241419C1" w14:textId="77777777" w:rsidR="00E40AC5" w:rsidRPr="006326C0" w:rsidRDefault="001A22E9" w:rsidP="006326C0">
            <w:pPr>
              <w:spacing w:after="0"/>
              <w:rPr>
                <w:rFonts w:ascii="Arial" w:hAnsi="Arial" w:cs="Arial"/>
                <w:b/>
                <w:sz w:val="20"/>
                <w:szCs w:val="20"/>
              </w:rPr>
            </w:pPr>
            <w:r w:rsidRPr="006326C0">
              <w:rPr>
                <w:rFonts w:ascii="Arial" w:hAnsi="Arial" w:cs="Arial"/>
                <w:b/>
                <w:sz w:val="20"/>
                <w:szCs w:val="20"/>
              </w:rPr>
              <w:t>Knowledge and</w:t>
            </w:r>
            <w:r w:rsidR="0037486B" w:rsidRPr="006326C0">
              <w:rPr>
                <w:rFonts w:ascii="Arial" w:hAnsi="Arial" w:cs="Arial"/>
                <w:b/>
                <w:sz w:val="20"/>
                <w:szCs w:val="20"/>
              </w:rPr>
              <w:t xml:space="preserve"> </w:t>
            </w:r>
            <w:r w:rsidR="00E40AC5" w:rsidRPr="006326C0">
              <w:rPr>
                <w:rFonts w:ascii="Arial" w:hAnsi="Arial" w:cs="Arial"/>
                <w:b/>
                <w:sz w:val="20"/>
                <w:szCs w:val="20"/>
              </w:rPr>
              <w:t>Qualifications</w:t>
            </w:r>
          </w:p>
        </w:tc>
        <w:tc>
          <w:tcPr>
            <w:tcW w:w="3686" w:type="dxa"/>
            <w:shd w:val="clear" w:color="auto" w:fill="D9D9D9" w:themeFill="background1" w:themeFillShade="D9"/>
          </w:tcPr>
          <w:p w14:paraId="322CB5A4" w14:textId="77777777" w:rsidR="00E40AC5" w:rsidRPr="00B75089" w:rsidRDefault="00E40AC5" w:rsidP="00560482">
            <w:pPr>
              <w:spacing w:beforeAutospacing="0" w:after="0" w:afterAutospacing="0" w:line="240" w:lineRule="auto"/>
              <w:jc w:val="both"/>
              <w:rPr>
                <w:rFonts w:ascii="Arial" w:hAnsi="Arial" w:cs="Arial"/>
                <w:b/>
                <w:sz w:val="20"/>
                <w:szCs w:val="20"/>
              </w:rPr>
            </w:pPr>
            <w:r w:rsidRPr="00B75089">
              <w:rPr>
                <w:rFonts w:ascii="Arial" w:hAnsi="Arial" w:cs="Arial"/>
                <w:b/>
                <w:sz w:val="20"/>
                <w:szCs w:val="20"/>
              </w:rPr>
              <w:t>Skills</w:t>
            </w:r>
          </w:p>
        </w:tc>
        <w:tc>
          <w:tcPr>
            <w:tcW w:w="3685" w:type="dxa"/>
            <w:shd w:val="clear" w:color="auto" w:fill="D9D9D9" w:themeFill="background1" w:themeFillShade="D9"/>
          </w:tcPr>
          <w:p w14:paraId="78412BB7" w14:textId="77777777" w:rsidR="00E40AC5" w:rsidRPr="00B75089" w:rsidRDefault="00E40AC5" w:rsidP="00560482">
            <w:pPr>
              <w:spacing w:beforeAutospacing="0" w:after="0" w:afterAutospacing="0" w:line="240" w:lineRule="auto"/>
              <w:jc w:val="both"/>
              <w:rPr>
                <w:rFonts w:ascii="Arial" w:hAnsi="Arial" w:cs="Arial"/>
                <w:b/>
                <w:sz w:val="20"/>
                <w:szCs w:val="20"/>
              </w:rPr>
            </w:pPr>
            <w:r w:rsidRPr="00B75089">
              <w:rPr>
                <w:rFonts w:ascii="Arial" w:hAnsi="Arial" w:cs="Arial"/>
                <w:b/>
                <w:sz w:val="20"/>
                <w:szCs w:val="20"/>
              </w:rPr>
              <w:t>Experience</w:t>
            </w:r>
          </w:p>
        </w:tc>
      </w:tr>
      <w:tr w:rsidR="00FF16B8" w:rsidRPr="00B75089" w14:paraId="7493B604" w14:textId="77777777" w:rsidTr="006326C0">
        <w:trPr>
          <w:cantSplit/>
          <w:trHeight w:val="2063"/>
        </w:trPr>
        <w:tc>
          <w:tcPr>
            <w:tcW w:w="460" w:type="dxa"/>
            <w:shd w:val="clear" w:color="auto" w:fill="D9D9D9" w:themeFill="background1" w:themeFillShade="D9"/>
            <w:textDirection w:val="btLr"/>
          </w:tcPr>
          <w:p w14:paraId="173519F9" w14:textId="77777777" w:rsidR="00E40AC5" w:rsidRPr="00B75089" w:rsidRDefault="00E40AC5" w:rsidP="00560482">
            <w:pPr>
              <w:spacing w:beforeAutospacing="0" w:after="0" w:afterAutospacing="0" w:line="240" w:lineRule="auto"/>
              <w:ind w:left="113" w:right="113"/>
              <w:jc w:val="both"/>
              <w:rPr>
                <w:rFonts w:ascii="Arial" w:hAnsi="Arial" w:cs="Arial"/>
                <w:b/>
                <w:sz w:val="20"/>
                <w:szCs w:val="20"/>
              </w:rPr>
            </w:pPr>
            <w:r w:rsidRPr="00B75089">
              <w:rPr>
                <w:rFonts w:ascii="Arial" w:hAnsi="Arial" w:cs="Arial"/>
                <w:b/>
                <w:sz w:val="20"/>
                <w:szCs w:val="20"/>
              </w:rPr>
              <w:t>Essential</w:t>
            </w:r>
          </w:p>
        </w:tc>
        <w:tc>
          <w:tcPr>
            <w:tcW w:w="2625" w:type="dxa"/>
          </w:tcPr>
          <w:p w14:paraId="6B323434" w14:textId="77777777" w:rsidR="004249E8" w:rsidRPr="006326C0" w:rsidRDefault="001A22E9" w:rsidP="00EB0F5E">
            <w:pPr>
              <w:pStyle w:val="ListParagraph"/>
              <w:numPr>
                <w:ilvl w:val="0"/>
                <w:numId w:val="18"/>
              </w:numPr>
              <w:spacing w:after="0"/>
              <w:ind w:left="249" w:hanging="249"/>
              <w:rPr>
                <w:rFonts w:ascii="Arial" w:eastAsia="Calibri" w:hAnsi="Arial" w:cs="Arial"/>
                <w:sz w:val="20"/>
                <w:szCs w:val="20"/>
              </w:rPr>
            </w:pPr>
            <w:r w:rsidRPr="006326C0">
              <w:rPr>
                <w:rFonts w:ascii="Arial" w:eastAsia="Calibri" w:hAnsi="Arial" w:cs="Arial"/>
                <w:sz w:val="20"/>
                <w:szCs w:val="20"/>
              </w:rPr>
              <w:t>Graduate Membership,</w:t>
            </w:r>
            <w:r w:rsidR="004249E8" w:rsidRPr="006326C0">
              <w:rPr>
                <w:rFonts w:ascii="Arial" w:eastAsia="Calibri" w:hAnsi="Arial" w:cs="Arial"/>
                <w:sz w:val="20"/>
                <w:szCs w:val="20"/>
              </w:rPr>
              <w:t xml:space="preserve"> Chartered Institute of Personnel and Development </w:t>
            </w:r>
          </w:p>
          <w:p w14:paraId="0009AB6D" w14:textId="77777777" w:rsidR="00E40AC5" w:rsidRPr="006326C0" w:rsidRDefault="00E40AC5" w:rsidP="00EB0F5E">
            <w:pPr>
              <w:pStyle w:val="ListParagraph"/>
              <w:spacing w:before="0" w:beforeAutospacing="0" w:after="0" w:afterAutospacing="0"/>
              <w:ind w:left="249" w:hanging="249"/>
              <w:jc w:val="both"/>
              <w:rPr>
                <w:rFonts w:ascii="Arial" w:eastAsia="Calibri" w:hAnsi="Arial" w:cs="Arial"/>
                <w:sz w:val="20"/>
                <w:szCs w:val="20"/>
              </w:rPr>
            </w:pPr>
          </w:p>
        </w:tc>
        <w:tc>
          <w:tcPr>
            <w:tcW w:w="3686" w:type="dxa"/>
            <w:vAlign w:val="center"/>
          </w:tcPr>
          <w:p w14:paraId="0E0223E1" w14:textId="77777777" w:rsidR="005817D2" w:rsidRPr="006326C0" w:rsidRDefault="005817D2" w:rsidP="00EB0F5E">
            <w:pPr>
              <w:pStyle w:val="ListParagraph"/>
              <w:numPr>
                <w:ilvl w:val="0"/>
                <w:numId w:val="18"/>
              </w:numPr>
              <w:spacing w:after="0"/>
              <w:ind w:left="317"/>
              <w:rPr>
                <w:rFonts w:ascii="Arial" w:eastAsia="Calibri" w:hAnsi="Arial" w:cs="Arial"/>
                <w:sz w:val="20"/>
                <w:szCs w:val="20"/>
              </w:rPr>
            </w:pPr>
            <w:r w:rsidRPr="006326C0">
              <w:rPr>
                <w:rFonts w:ascii="Arial" w:eastAsia="Calibri" w:hAnsi="Arial" w:cs="Arial"/>
                <w:sz w:val="20"/>
                <w:szCs w:val="20"/>
              </w:rPr>
              <w:t>Managing</w:t>
            </w:r>
            <w:r w:rsidR="001A22E9" w:rsidRPr="006326C0">
              <w:rPr>
                <w:rFonts w:ascii="Arial" w:eastAsia="Calibri" w:hAnsi="Arial" w:cs="Arial"/>
                <w:sz w:val="20"/>
                <w:szCs w:val="20"/>
              </w:rPr>
              <w:t xml:space="preserve"> senior s</w:t>
            </w:r>
            <w:r w:rsidRPr="006326C0">
              <w:rPr>
                <w:rFonts w:ascii="Arial" w:eastAsia="Calibri" w:hAnsi="Arial" w:cs="Arial"/>
                <w:sz w:val="20"/>
                <w:szCs w:val="20"/>
              </w:rPr>
              <w:t xml:space="preserve">takeholders </w:t>
            </w:r>
          </w:p>
          <w:p w14:paraId="032739D2" w14:textId="77777777" w:rsidR="0037486B" w:rsidRPr="006326C0" w:rsidRDefault="005817D2" w:rsidP="00EB0F5E">
            <w:pPr>
              <w:pStyle w:val="ListParagraph"/>
              <w:numPr>
                <w:ilvl w:val="0"/>
                <w:numId w:val="18"/>
              </w:numPr>
              <w:spacing w:after="0"/>
              <w:ind w:left="317"/>
              <w:rPr>
                <w:rFonts w:ascii="Arial" w:eastAsia="Calibri" w:hAnsi="Arial" w:cs="Arial"/>
                <w:sz w:val="20"/>
                <w:szCs w:val="20"/>
              </w:rPr>
            </w:pPr>
            <w:r w:rsidRPr="006326C0">
              <w:rPr>
                <w:rFonts w:ascii="Arial" w:eastAsia="Calibri" w:hAnsi="Arial" w:cs="Arial"/>
                <w:sz w:val="20"/>
                <w:szCs w:val="20"/>
              </w:rPr>
              <w:t>Change</w:t>
            </w:r>
            <w:r w:rsidR="001A22E9" w:rsidRPr="006326C0">
              <w:rPr>
                <w:rFonts w:ascii="Arial" w:eastAsia="Calibri" w:hAnsi="Arial" w:cs="Arial"/>
                <w:sz w:val="20"/>
                <w:szCs w:val="20"/>
              </w:rPr>
              <w:t xml:space="preserve"> management</w:t>
            </w:r>
            <w:r w:rsidRPr="006326C0">
              <w:rPr>
                <w:rFonts w:ascii="Arial" w:eastAsia="Calibri" w:hAnsi="Arial" w:cs="Arial"/>
                <w:sz w:val="20"/>
                <w:szCs w:val="20"/>
              </w:rPr>
              <w:t>/Projects management/Lean (six sigma)</w:t>
            </w:r>
            <w:r w:rsidR="0037486B" w:rsidRPr="006326C0">
              <w:rPr>
                <w:rFonts w:ascii="Arial" w:eastAsia="Calibri" w:hAnsi="Arial" w:cs="Arial"/>
                <w:sz w:val="20"/>
                <w:szCs w:val="20"/>
              </w:rPr>
              <w:t xml:space="preserve"> </w:t>
            </w:r>
            <w:r w:rsidRPr="006326C0">
              <w:rPr>
                <w:rFonts w:ascii="Arial" w:eastAsia="Calibri" w:hAnsi="Arial" w:cs="Arial"/>
                <w:sz w:val="20"/>
                <w:szCs w:val="20"/>
              </w:rPr>
              <w:t>/Continuous Improvement</w:t>
            </w:r>
            <w:r w:rsidR="0037486B" w:rsidRPr="006326C0">
              <w:rPr>
                <w:rFonts w:ascii="Arial" w:eastAsia="Calibri" w:hAnsi="Arial" w:cs="Arial"/>
                <w:sz w:val="20"/>
                <w:szCs w:val="20"/>
              </w:rPr>
              <w:t xml:space="preserve"> </w:t>
            </w:r>
          </w:p>
          <w:p w14:paraId="12E1EE93" w14:textId="77777777" w:rsidR="0037486B" w:rsidRPr="006326C0" w:rsidRDefault="004249E8" w:rsidP="00EB0F5E">
            <w:pPr>
              <w:pStyle w:val="ListParagraph"/>
              <w:numPr>
                <w:ilvl w:val="0"/>
                <w:numId w:val="18"/>
              </w:numPr>
              <w:spacing w:after="0"/>
              <w:ind w:left="317"/>
              <w:rPr>
                <w:rFonts w:ascii="Arial" w:eastAsia="Calibri" w:hAnsi="Arial" w:cs="Arial"/>
                <w:sz w:val="20"/>
                <w:szCs w:val="20"/>
              </w:rPr>
            </w:pPr>
            <w:r w:rsidRPr="006326C0">
              <w:rPr>
                <w:rFonts w:ascii="Arial" w:eastAsia="Calibri" w:hAnsi="Arial" w:cs="Arial"/>
                <w:sz w:val="20"/>
                <w:szCs w:val="20"/>
              </w:rPr>
              <w:t>Demonstrate</w:t>
            </w:r>
            <w:r w:rsidR="001A22E9" w:rsidRPr="006326C0">
              <w:rPr>
                <w:rFonts w:ascii="Arial" w:eastAsia="Calibri" w:hAnsi="Arial" w:cs="Arial"/>
                <w:sz w:val="20"/>
                <w:szCs w:val="20"/>
              </w:rPr>
              <w:t xml:space="preserve"> </w:t>
            </w:r>
            <w:r w:rsidRPr="006326C0">
              <w:rPr>
                <w:rFonts w:ascii="Arial" w:eastAsia="Calibri" w:hAnsi="Arial" w:cs="Arial"/>
                <w:sz w:val="20"/>
                <w:szCs w:val="20"/>
              </w:rPr>
              <w:t>thought</w:t>
            </w:r>
            <w:r w:rsidR="001A22E9" w:rsidRPr="006326C0">
              <w:rPr>
                <w:rFonts w:ascii="Arial" w:eastAsia="Calibri" w:hAnsi="Arial" w:cs="Arial"/>
                <w:sz w:val="20"/>
                <w:szCs w:val="20"/>
              </w:rPr>
              <w:t xml:space="preserve"> </w:t>
            </w:r>
            <w:r w:rsidRPr="006326C0">
              <w:rPr>
                <w:rFonts w:ascii="Arial" w:eastAsia="Calibri" w:hAnsi="Arial" w:cs="Arial"/>
                <w:sz w:val="20"/>
                <w:szCs w:val="20"/>
              </w:rPr>
              <w:t>leadership in HR policy and procedures</w:t>
            </w:r>
          </w:p>
          <w:p w14:paraId="008A310E" w14:textId="77777777" w:rsidR="0037486B" w:rsidRPr="006326C0" w:rsidRDefault="004249E8" w:rsidP="00EB0F5E">
            <w:pPr>
              <w:pStyle w:val="ListParagraph"/>
              <w:numPr>
                <w:ilvl w:val="0"/>
                <w:numId w:val="18"/>
              </w:numPr>
              <w:spacing w:after="0"/>
              <w:ind w:left="317"/>
              <w:rPr>
                <w:rFonts w:ascii="Arial" w:eastAsia="Calibri" w:hAnsi="Arial" w:cs="Arial"/>
                <w:sz w:val="20"/>
                <w:szCs w:val="20"/>
              </w:rPr>
            </w:pPr>
            <w:r w:rsidRPr="006326C0">
              <w:rPr>
                <w:rFonts w:ascii="Arial" w:eastAsia="Calibri" w:hAnsi="Arial" w:cs="Arial"/>
                <w:sz w:val="20"/>
                <w:szCs w:val="20"/>
              </w:rPr>
              <w:t xml:space="preserve">High-energy work </w:t>
            </w:r>
            <w:r w:rsidR="001A22E9" w:rsidRPr="006326C0">
              <w:rPr>
                <w:rFonts w:ascii="Arial" w:eastAsia="Calibri" w:hAnsi="Arial" w:cs="Arial"/>
                <w:sz w:val="20"/>
                <w:szCs w:val="20"/>
              </w:rPr>
              <w:t>ethic, ability to establish vision, drives</w:t>
            </w:r>
            <w:r w:rsidRPr="006326C0">
              <w:rPr>
                <w:rFonts w:ascii="Arial" w:eastAsia="Calibri" w:hAnsi="Arial" w:cs="Arial"/>
                <w:sz w:val="20"/>
                <w:szCs w:val="20"/>
              </w:rPr>
              <w:t xml:space="preserve"> change and deliver results.</w:t>
            </w:r>
            <w:r w:rsidR="0037486B" w:rsidRPr="006326C0">
              <w:rPr>
                <w:rFonts w:ascii="Arial" w:eastAsia="Calibri" w:hAnsi="Arial" w:cs="Arial"/>
                <w:sz w:val="20"/>
                <w:szCs w:val="20"/>
              </w:rPr>
              <w:t xml:space="preserve"> </w:t>
            </w:r>
          </w:p>
          <w:p w14:paraId="5088881F" w14:textId="77777777" w:rsidR="001A22E9" w:rsidRPr="006326C0" w:rsidRDefault="001A22E9" w:rsidP="00EB0F5E">
            <w:pPr>
              <w:pStyle w:val="ListParagraph"/>
              <w:numPr>
                <w:ilvl w:val="0"/>
                <w:numId w:val="18"/>
              </w:numPr>
              <w:spacing w:after="0"/>
              <w:ind w:left="317"/>
              <w:rPr>
                <w:rFonts w:ascii="Arial" w:eastAsia="Calibri" w:hAnsi="Arial" w:cs="Arial"/>
                <w:sz w:val="20"/>
                <w:szCs w:val="20"/>
              </w:rPr>
            </w:pPr>
            <w:r w:rsidRPr="006326C0">
              <w:rPr>
                <w:rFonts w:ascii="Arial" w:eastAsia="Calibri" w:hAnsi="Arial" w:cs="Arial"/>
                <w:sz w:val="20"/>
                <w:szCs w:val="20"/>
              </w:rPr>
              <w:t>Use of people metric insight to inform people plans / decisions and actions</w:t>
            </w:r>
          </w:p>
          <w:p w14:paraId="20DAF117" w14:textId="77777777" w:rsidR="004249E8" w:rsidRPr="006326C0" w:rsidRDefault="004249E8" w:rsidP="006326C0">
            <w:pPr>
              <w:pStyle w:val="ListParagraph"/>
              <w:spacing w:before="0" w:beforeAutospacing="0" w:after="0" w:afterAutospacing="0"/>
              <w:rPr>
                <w:rFonts w:ascii="Arial" w:eastAsia="Calibri" w:hAnsi="Arial" w:cs="Arial"/>
                <w:sz w:val="20"/>
                <w:szCs w:val="20"/>
              </w:rPr>
            </w:pPr>
          </w:p>
        </w:tc>
        <w:tc>
          <w:tcPr>
            <w:tcW w:w="3685" w:type="dxa"/>
          </w:tcPr>
          <w:p w14:paraId="0A5FB469" w14:textId="77777777" w:rsidR="00E40AC5" w:rsidRPr="006326C0" w:rsidRDefault="005817D2" w:rsidP="00DE72C7">
            <w:pPr>
              <w:pStyle w:val="ListParagraph"/>
              <w:numPr>
                <w:ilvl w:val="0"/>
                <w:numId w:val="18"/>
              </w:numPr>
              <w:spacing w:after="0"/>
              <w:ind w:left="317" w:hanging="284"/>
              <w:rPr>
                <w:rFonts w:ascii="Arial" w:eastAsia="Calibri" w:hAnsi="Arial" w:cs="Arial"/>
                <w:sz w:val="20"/>
                <w:szCs w:val="20"/>
              </w:rPr>
            </w:pPr>
            <w:r w:rsidRPr="006326C0">
              <w:rPr>
                <w:rFonts w:ascii="Arial" w:eastAsia="Calibri" w:hAnsi="Arial" w:cs="Arial"/>
                <w:sz w:val="20"/>
                <w:szCs w:val="20"/>
              </w:rPr>
              <w:t>Extensive</w:t>
            </w:r>
            <w:r w:rsidR="001A22E9" w:rsidRPr="006326C0">
              <w:rPr>
                <w:rFonts w:ascii="Arial" w:eastAsia="Calibri" w:hAnsi="Arial" w:cs="Arial"/>
                <w:sz w:val="20"/>
                <w:szCs w:val="20"/>
              </w:rPr>
              <w:t xml:space="preserve"> HR </w:t>
            </w:r>
            <w:r w:rsidRPr="006326C0">
              <w:rPr>
                <w:rFonts w:ascii="Arial" w:eastAsia="Calibri" w:hAnsi="Arial" w:cs="Arial"/>
                <w:sz w:val="20"/>
                <w:szCs w:val="20"/>
              </w:rPr>
              <w:t xml:space="preserve">operational management </w:t>
            </w:r>
          </w:p>
          <w:p w14:paraId="1498C456" w14:textId="77777777" w:rsidR="004249E8" w:rsidRPr="006326C0" w:rsidRDefault="004249E8" w:rsidP="00DE72C7">
            <w:pPr>
              <w:pStyle w:val="ListParagraph"/>
              <w:numPr>
                <w:ilvl w:val="0"/>
                <w:numId w:val="18"/>
              </w:numPr>
              <w:spacing w:after="0"/>
              <w:ind w:left="317" w:hanging="284"/>
              <w:rPr>
                <w:rFonts w:ascii="Arial" w:eastAsia="Calibri" w:hAnsi="Arial" w:cs="Arial"/>
                <w:sz w:val="20"/>
                <w:szCs w:val="20"/>
              </w:rPr>
            </w:pPr>
            <w:r w:rsidRPr="006326C0">
              <w:rPr>
                <w:rFonts w:ascii="Arial" w:eastAsia="Calibri" w:hAnsi="Arial" w:cs="Arial"/>
                <w:sz w:val="20"/>
                <w:szCs w:val="20"/>
              </w:rPr>
              <w:t>Detailed knowledge of human resources and employee relations approaches, methods and their application</w:t>
            </w:r>
            <w:r w:rsidR="0037486B" w:rsidRPr="006326C0">
              <w:rPr>
                <w:rFonts w:ascii="Arial" w:eastAsia="Calibri" w:hAnsi="Arial" w:cs="Arial"/>
                <w:sz w:val="20"/>
                <w:szCs w:val="20"/>
              </w:rPr>
              <w:t xml:space="preserve"> </w:t>
            </w:r>
          </w:p>
          <w:p w14:paraId="43B0E6D1" w14:textId="77777777" w:rsidR="0037486B" w:rsidRPr="006326C0" w:rsidRDefault="004249E8" w:rsidP="00DE72C7">
            <w:pPr>
              <w:pStyle w:val="ListParagraph"/>
              <w:numPr>
                <w:ilvl w:val="0"/>
                <w:numId w:val="18"/>
              </w:numPr>
              <w:spacing w:after="0"/>
              <w:ind w:left="317" w:hanging="284"/>
              <w:rPr>
                <w:rFonts w:ascii="Arial" w:eastAsia="Calibri" w:hAnsi="Arial" w:cs="Arial"/>
                <w:sz w:val="20"/>
                <w:szCs w:val="20"/>
              </w:rPr>
            </w:pPr>
            <w:r w:rsidRPr="006326C0">
              <w:rPr>
                <w:rFonts w:ascii="Arial" w:eastAsia="Calibri" w:hAnsi="Arial" w:cs="Arial"/>
                <w:sz w:val="20"/>
                <w:szCs w:val="20"/>
              </w:rPr>
              <w:t>Significant up-to-date knowledge of employment law,</w:t>
            </w:r>
            <w:r w:rsidR="0037486B" w:rsidRPr="006326C0">
              <w:rPr>
                <w:rFonts w:ascii="Arial" w:eastAsia="Calibri" w:hAnsi="Arial" w:cs="Arial"/>
                <w:sz w:val="20"/>
                <w:szCs w:val="20"/>
              </w:rPr>
              <w:t xml:space="preserve"> </w:t>
            </w:r>
            <w:r w:rsidRPr="006326C0">
              <w:rPr>
                <w:rFonts w:ascii="Arial" w:eastAsia="Calibri" w:hAnsi="Arial" w:cs="Arial"/>
                <w:sz w:val="20"/>
                <w:szCs w:val="20"/>
              </w:rPr>
              <w:t>best practice, contemporary approaches and HR policies and procedures</w:t>
            </w:r>
          </w:p>
        </w:tc>
      </w:tr>
      <w:tr w:rsidR="00FF16B8" w:rsidRPr="00B75089" w14:paraId="1D522055" w14:textId="77777777" w:rsidTr="006326C0">
        <w:trPr>
          <w:cantSplit/>
          <w:trHeight w:val="1691"/>
        </w:trPr>
        <w:tc>
          <w:tcPr>
            <w:tcW w:w="460" w:type="dxa"/>
            <w:shd w:val="clear" w:color="auto" w:fill="D9D9D9" w:themeFill="background1" w:themeFillShade="D9"/>
            <w:textDirection w:val="btLr"/>
          </w:tcPr>
          <w:p w14:paraId="61BAAC57" w14:textId="77777777" w:rsidR="00E40AC5" w:rsidRPr="00B75089" w:rsidRDefault="00E40AC5" w:rsidP="00560482">
            <w:pPr>
              <w:spacing w:beforeAutospacing="0" w:after="0" w:afterAutospacing="0" w:line="240" w:lineRule="auto"/>
              <w:ind w:left="113" w:right="113"/>
              <w:jc w:val="both"/>
              <w:rPr>
                <w:rFonts w:ascii="Arial" w:hAnsi="Arial" w:cs="Arial"/>
                <w:b/>
                <w:sz w:val="20"/>
                <w:szCs w:val="20"/>
              </w:rPr>
            </w:pPr>
            <w:r w:rsidRPr="00B75089">
              <w:rPr>
                <w:rFonts w:ascii="Arial" w:hAnsi="Arial" w:cs="Arial"/>
                <w:b/>
                <w:sz w:val="20"/>
                <w:szCs w:val="20"/>
              </w:rPr>
              <w:t>Desirable</w:t>
            </w:r>
          </w:p>
        </w:tc>
        <w:tc>
          <w:tcPr>
            <w:tcW w:w="2625" w:type="dxa"/>
          </w:tcPr>
          <w:p w14:paraId="51726D3B" w14:textId="77777777" w:rsidR="004249E8" w:rsidRPr="006326C0" w:rsidRDefault="004249E8" w:rsidP="00EB0F5E">
            <w:pPr>
              <w:pStyle w:val="ListParagraph"/>
              <w:numPr>
                <w:ilvl w:val="0"/>
                <w:numId w:val="18"/>
              </w:numPr>
              <w:spacing w:after="0"/>
              <w:ind w:left="249" w:hanging="249"/>
              <w:rPr>
                <w:rFonts w:ascii="Arial" w:eastAsia="Calibri" w:hAnsi="Arial" w:cs="Arial"/>
                <w:sz w:val="20"/>
                <w:szCs w:val="20"/>
              </w:rPr>
            </w:pPr>
            <w:r w:rsidRPr="006326C0">
              <w:rPr>
                <w:rFonts w:ascii="Arial" w:eastAsia="Calibri" w:hAnsi="Arial" w:cs="Arial"/>
                <w:sz w:val="20"/>
                <w:szCs w:val="20"/>
              </w:rPr>
              <w:t xml:space="preserve">Post graduate qualification or equivalent </w:t>
            </w:r>
          </w:p>
          <w:p w14:paraId="2DD5524B" w14:textId="77777777" w:rsidR="00E40AC5" w:rsidRPr="006326C0" w:rsidRDefault="00E40AC5" w:rsidP="00EB0F5E">
            <w:pPr>
              <w:pStyle w:val="ListParagraph"/>
              <w:spacing w:after="0"/>
              <w:ind w:left="249" w:hanging="249"/>
              <w:rPr>
                <w:rFonts w:ascii="Arial" w:eastAsia="Calibri" w:hAnsi="Arial" w:cs="Arial"/>
                <w:sz w:val="20"/>
                <w:szCs w:val="20"/>
              </w:rPr>
            </w:pPr>
          </w:p>
        </w:tc>
        <w:tc>
          <w:tcPr>
            <w:tcW w:w="3686" w:type="dxa"/>
          </w:tcPr>
          <w:p w14:paraId="6BC2C343" w14:textId="77777777" w:rsidR="00E40AC5" w:rsidRPr="006326C0" w:rsidRDefault="00E40AC5" w:rsidP="006326C0">
            <w:pPr>
              <w:spacing w:before="100" w:after="0"/>
              <w:ind w:left="720"/>
              <w:rPr>
                <w:rFonts w:ascii="Arial" w:hAnsi="Arial" w:cs="Arial"/>
                <w:sz w:val="20"/>
                <w:szCs w:val="20"/>
              </w:rPr>
            </w:pPr>
          </w:p>
        </w:tc>
        <w:tc>
          <w:tcPr>
            <w:tcW w:w="3685" w:type="dxa"/>
          </w:tcPr>
          <w:p w14:paraId="29C9CE23" w14:textId="77777777" w:rsidR="001A22E9" w:rsidRPr="006326C0" w:rsidRDefault="005817D2" w:rsidP="00DE72C7">
            <w:pPr>
              <w:pStyle w:val="ListParagraph"/>
              <w:numPr>
                <w:ilvl w:val="0"/>
                <w:numId w:val="18"/>
              </w:numPr>
              <w:spacing w:after="0"/>
              <w:ind w:left="317" w:hanging="284"/>
              <w:rPr>
                <w:rFonts w:ascii="Arial" w:eastAsia="Calibri" w:hAnsi="Arial" w:cs="Arial"/>
                <w:sz w:val="20"/>
                <w:szCs w:val="20"/>
              </w:rPr>
            </w:pPr>
            <w:r w:rsidRPr="006326C0">
              <w:rPr>
                <w:rFonts w:ascii="Arial" w:eastAsia="Calibri" w:hAnsi="Arial" w:cs="Arial"/>
                <w:sz w:val="20"/>
                <w:szCs w:val="20"/>
              </w:rPr>
              <w:t xml:space="preserve">International </w:t>
            </w:r>
            <w:r w:rsidR="001A22E9" w:rsidRPr="006326C0">
              <w:rPr>
                <w:rFonts w:ascii="Arial" w:eastAsia="Calibri" w:hAnsi="Arial" w:cs="Arial"/>
                <w:sz w:val="20"/>
                <w:szCs w:val="20"/>
              </w:rPr>
              <w:t>HR</w:t>
            </w:r>
            <w:r w:rsidRPr="006326C0">
              <w:rPr>
                <w:rFonts w:ascii="Arial" w:eastAsia="Calibri" w:hAnsi="Arial" w:cs="Arial"/>
                <w:sz w:val="20"/>
                <w:szCs w:val="20"/>
              </w:rPr>
              <w:t xml:space="preserve"> management – leading t</w:t>
            </w:r>
            <w:r w:rsidR="001A22E9" w:rsidRPr="006326C0">
              <w:rPr>
                <w:rFonts w:ascii="Arial" w:eastAsia="Calibri" w:hAnsi="Arial" w:cs="Arial"/>
                <w:sz w:val="20"/>
                <w:szCs w:val="20"/>
              </w:rPr>
              <w:t>eams across different cultures and employment law.</w:t>
            </w:r>
          </w:p>
          <w:p w14:paraId="3DF5E4AA" w14:textId="77777777" w:rsidR="004249E8" w:rsidRPr="006326C0" w:rsidRDefault="004249E8" w:rsidP="00DE72C7">
            <w:pPr>
              <w:pStyle w:val="ListParagraph"/>
              <w:numPr>
                <w:ilvl w:val="0"/>
                <w:numId w:val="18"/>
              </w:numPr>
              <w:spacing w:after="0"/>
              <w:ind w:left="317" w:hanging="284"/>
              <w:rPr>
                <w:rFonts w:ascii="Arial" w:eastAsia="Calibri" w:hAnsi="Arial" w:cs="Arial"/>
                <w:sz w:val="20"/>
                <w:szCs w:val="20"/>
              </w:rPr>
            </w:pPr>
            <w:r w:rsidRPr="006326C0">
              <w:rPr>
                <w:rFonts w:ascii="Arial" w:eastAsia="Calibri" w:hAnsi="Arial" w:cs="Arial"/>
                <w:sz w:val="20"/>
                <w:szCs w:val="20"/>
              </w:rPr>
              <w:t>Acted previously as a strategic HR Business Partner within a competitive commercial environment</w:t>
            </w:r>
            <w:r w:rsidR="0037486B" w:rsidRPr="006326C0">
              <w:rPr>
                <w:rFonts w:ascii="Arial" w:eastAsia="Calibri" w:hAnsi="Arial" w:cs="Arial"/>
                <w:sz w:val="20"/>
                <w:szCs w:val="20"/>
              </w:rPr>
              <w:t xml:space="preserve"> </w:t>
            </w:r>
          </w:p>
        </w:tc>
      </w:tr>
    </w:tbl>
    <w:p w14:paraId="72AF16CC" w14:textId="77777777" w:rsidR="0056188D" w:rsidRPr="00B75089" w:rsidRDefault="0056188D" w:rsidP="00560482">
      <w:pPr>
        <w:spacing w:after="0" w:line="240" w:lineRule="auto"/>
        <w:jc w:val="both"/>
        <w:rPr>
          <w:rFonts w:ascii="Arial" w:hAnsi="Arial" w:cs="Arial"/>
        </w:rPr>
      </w:pPr>
    </w:p>
    <w:sectPr w:rsidR="0056188D" w:rsidRPr="00B75089" w:rsidSect="009E22D0">
      <w:head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56735" w14:textId="77777777" w:rsidR="005331E9" w:rsidRDefault="005331E9" w:rsidP="009E22D0">
      <w:pPr>
        <w:spacing w:after="0" w:line="240" w:lineRule="auto"/>
      </w:pPr>
      <w:r>
        <w:separator/>
      </w:r>
    </w:p>
  </w:endnote>
  <w:endnote w:type="continuationSeparator" w:id="0">
    <w:p w14:paraId="401CB142" w14:textId="77777777" w:rsidR="005331E9" w:rsidRDefault="005331E9"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A799C" w14:textId="77777777" w:rsidR="005331E9" w:rsidRDefault="005331E9" w:rsidP="009E22D0">
      <w:pPr>
        <w:spacing w:after="0" w:line="240" w:lineRule="auto"/>
      </w:pPr>
      <w:r>
        <w:separator/>
      </w:r>
    </w:p>
  </w:footnote>
  <w:footnote w:type="continuationSeparator" w:id="0">
    <w:p w14:paraId="330396D1" w14:textId="77777777" w:rsidR="005331E9" w:rsidRDefault="005331E9"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C9BC"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5554E86" wp14:editId="34B21790">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6FB53F9"/>
    <w:multiLevelType w:val="hybridMultilevel"/>
    <w:tmpl w:val="6F80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269DA"/>
    <w:multiLevelType w:val="hybridMultilevel"/>
    <w:tmpl w:val="2282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A0BCB"/>
    <w:multiLevelType w:val="hybridMultilevel"/>
    <w:tmpl w:val="42F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A5D"/>
    <w:multiLevelType w:val="hybridMultilevel"/>
    <w:tmpl w:val="57FA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AD08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A6031"/>
    <w:multiLevelType w:val="hybridMultilevel"/>
    <w:tmpl w:val="F0DC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150CF"/>
    <w:multiLevelType w:val="hybridMultilevel"/>
    <w:tmpl w:val="C66245C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6"/>
  </w:num>
  <w:num w:numId="5">
    <w:abstractNumId w:val="9"/>
  </w:num>
  <w:num w:numId="6">
    <w:abstractNumId w:val="3"/>
  </w:num>
  <w:num w:numId="7">
    <w:abstractNumId w:val="12"/>
  </w:num>
  <w:num w:numId="8">
    <w:abstractNumId w:val="15"/>
  </w:num>
  <w:num w:numId="9">
    <w:abstractNumId w:val="17"/>
  </w:num>
  <w:num w:numId="10">
    <w:abstractNumId w:val="13"/>
  </w:num>
  <w:num w:numId="11">
    <w:abstractNumId w:val="5"/>
  </w:num>
  <w:num w:numId="12">
    <w:abstractNumId w:val="14"/>
  </w:num>
  <w:num w:numId="13">
    <w:abstractNumId w:val="16"/>
  </w:num>
  <w:num w:numId="14">
    <w:abstractNumId w:val="7"/>
  </w:num>
  <w:num w:numId="15">
    <w:abstractNumId w:val="1"/>
  </w:num>
  <w:num w:numId="16">
    <w:abstractNumId w:val="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2D0"/>
    <w:rsid w:val="00076434"/>
    <w:rsid w:val="00082F60"/>
    <w:rsid w:val="000E4361"/>
    <w:rsid w:val="001A22E9"/>
    <w:rsid w:val="002973B4"/>
    <w:rsid w:val="002B557F"/>
    <w:rsid w:val="0037486B"/>
    <w:rsid w:val="004249E8"/>
    <w:rsid w:val="004762DC"/>
    <w:rsid w:val="004D18E8"/>
    <w:rsid w:val="005331E9"/>
    <w:rsid w:val="005542D1"/>
    <w:rsid w:val="00560482"/>
    <w:rsid w:val="0056188D"/>
    <w:rsid w:val="00566B80"/>
    <w:rsid w:val="005817D2"/>
    <w:rsid w:val="005A7864"/>
    <w:rsid w:val="005C2F90"/>
    <w:rsid w:val="006219B1"/>
    <w:rsid w:val="006326C0"/>
    <w:rsid w:val="00666EB3"/>
    <w:rsid w:val="00711E46"/>
    <w:rsid w:val="00717094"/>
    <w:rsid w:val="00753509"/>
    <w:rsid w:val="007E7CA1"/>
    <w:rsid w:val="00813AEB"/>
    <w:rsid w:val="008D63E0"/>
    <w:rsid w:val="009A3B95"/>
    <w:rsid w:val="009E22D0"/>
    <w:rsid w:val="00A4414A"/>
    <w:rsid w:val="00AF1D77"/>
    <w:rsid w:val="00B75089"/>
    <w:rsid w:val="00C91CFA"/>
    <w:rsid w:val="00D40ED9"/>
    <w:rsid w:val="00D7017E"/>
    <w:rsid w:val="00DE72C7"/>
    <w:rsid w:val="00E40AC5"/>
    <w:rsid w:val="00EA2B49"/>
    <w:rsid w:val="00EB0F5E"/>
    <w:rsid w:val="00F5319A"/>
    <w:rsid w:val="00F97583"/>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955BE8"/>
  <w15:docId w15:val="{393CD768-0E72-4410-BBCA-2C784413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2DC"/>
    <w:rPr>
      <w:sz w:val="16"/>
      <w:szCs w:val="16"/>
    </w:rPr>
  </w:style>
  <w:style w:type="paragraph" w:styleId="CommentText">
    <w:name w:val="annotation text"/>
    <w:basedOn w:val="Normal"/>
    <w:link w:val="CommentTextChar"/>
    <w:uiPriority w:val="99"/>
    <w:semiHidden/>
    <w:unhideWhenUsed/>
    <w:rsid w:val="004762DC"/>
    <w:pPr>
      <w:spacing w:line="240" w:lineRule="auto"/>
    </w:pPr>
    <w:rPr>
      <w:sz w:val="20"/>
      <w:szCs w:val="20"/>
    </w:rPr>
  </w:style>
  <w:style w:type="character" w:customStyle="1" w:styleId="CommentTextChar">
    <w:name w:val="Comment Text Char"/>
    <w:basedOn w:val="DefaultParagraphFont"/>
    <w:link w:val="CommentText"/>
    <w:uiPriority w:val="99"/>
    <w:semiHidden/>
    <w:rsid w:val="004762DC"/>
    <w:rPr>
      <w:rFonts w:ascii="Calibri" w:hAnsi="Calibri"/>
    </w:rPr>
  </w:style>
  <w:style w:type="paragraph" w:styleId="CommentSubject">
    <w:name w:val="annotation subject"/>
    <w:basedOn w:val="CommentText"/>
    <w:next w:val="CommentText"/>
    <w:link w:val="CommentSubjectChar"/>
    <w:uiPriority w:val="99"/>
    <w:semiHidden/>
    <w:unhideWhenUsed/>
    <w:rsid w:val="004762DC"/>
    <w:rPr>
      <w:b/>
      <w:bCs/>
    </w:rPr>
  </w:style>
  <w:style w:type="character" w:customStyle="1" w:styleId="CommentSubjectChar">
    <w:name w:val="Comment Subject Char"/>
    <w:basedOn w:val="CommentTextChar"/>
    <w:link w:val="CommentSubject"/>
    <w:uiPriority w:val="99"/>
    <w:semiHidden/>
    <w:rsid w:val="004762D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4A1E1217-77FF-4B08-BF44-FF3F6E100628}">
  <ds:schemaRefs>
    <ds:schemaRef ds:uri="http://schemas.openxmlformats.org/officeDocument/2006/bibliography"/>
  </ds:schemaRefs>
</ds:datastoreItem>
</file>

<file path=customXml/itemProps2.xml><?xml version="1.0" encoding="utf-8"?>
<ds:datastoreItem xmlns:ds="http://schemas.openxmlformats.org/officeDocument/2006/customXml" ds:itemID="{E71172A3-724E-43CF-830F-EE3E6F13827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Melissa Smith</cp:lastModifiedBy>
  <cp:revision>6</cp:revision>
  <dcterms:created xsi:type="dcterms:W3CDTF">2019-04-02T06:39:00Z</dcterms:created>
  <dcterms:modified xsi:type="dcterms:W3CDTF">2021-04-13T13:06:00Z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9587d316-ba1c-4f5e-9a4b-9f8d4bf87266</vt:lpwstr>
  </property>
  <property fmtid="{D5CDD505-2E9C-101B-9397-08002B2CF9AE}" pid="3" name="bjSaver">
    <vt:lpwstr>EeBgUQ1DSnEyJNXdfEdBBv6EbEoqtaal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