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1F0878" w:rsidRPr="00B75089" w14:paraId="4A8117D3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68A7AA2" w14:textId="77777777" w:rsidR="001F0878" w:rsidRPr="00B75089" w:rsidRDefault="001F0878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98F8CD7" w14:textId="6D8ABCF9" w:rsidR="001F0878" w:rsidRPr="00B75089" w:rsidRDefault="00FE79A0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Reserving </w:t>
            </w:r>
            <w:r w:rsidR="001F0878" w:rsidRPr="00DD048C">
              <w:rPr>
                <w:rFonts w:ascii="Arial" w:hAnsi="Arial" w:cs="Arial"/>
                <w:sz w:val="20"/>
                <w:szCs w:val="20"/>
              </w:rPr>
              <w:t>Actuarial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1AF4D7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C2FA2AF" w14:textId="5B8B953D" w:rsidR="001F0878" w:rsidRPr="00B75089" w:rsidRDefault="007A58D6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Reserving Actuary</w:t>
            </w:r>
          </w:p>
        </w:tc>
      </w:tr>
      <w:tr w:rsidR="001F0878" w:rsidRPr="00B75089" w14:paraId="65D65C8D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557BC40E" w14:textId="77777777" w:rsidR="001F0878" w:rsidRPr="00B75089" w:rsidRDefault="001F0878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81D3517" w14:textId="6D5C1E4B" w:rsidR="001F0878" w:rsidRPr="00B75089" w:rsidRDefault="00DA26B3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Finance, Strategic Planning and Corporate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8A6B53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5044434A" w14:textId="5CBC54A2" w:rsidR="001F0878" w:rsidRPr="00B75089" w:rsidRDefault="0090120B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Reserving</w:t>
            </w:r>
          </w:p>
        </w:tc>
      </w:tr>
      <w:tr w:rsidR="001F0878" w:rsidRPr="00B75089" w14:paraId="59EAC67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BA971ED" w14:textId="77777777" w:rsidR="001F0878" w:rsidRPr="00B75089" w:rsidRDefault="001F0878" w:rsidP="001F087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9BF42A9" w14:textId="6F4EB48C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596D0C2F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7794928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2F85475" w14:textId="69EC66C9" w:rsidR="001F0878" w:rsidRDefault="001F0878" w:rsidP="001F0878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  <w:p w14:paraId="5BCCC692" w14:textId="77777777" w:rsidR="001F0878" w:rsidRPr="00B75089" w:rsidRDefault="001F0878" w:rsidP="001F0878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878" w:rsidRPr="00B75089" w14:paraId="6EFD477C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ECCFE54" w14:textId="77777777" w:rsidR="001F0878" w:rsidRPr="00B75089" w:rsidRDefault="001F0878" w:rsidP="001F0878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945A559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FE51016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EDDD33B" w14:textId="582015D6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 or budget control</w:t>
            </w:r>
          </w:p>
        </w:tc>
      </w:tr>
      <w:tr w:rsidR="001F0878" w:rsidRPr="00B75089" w14:paraId="1D6C2B2D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5AC6413" w14:textId="77777777" w:rsidR="001F0878" w:rsidRPr="00B75089" w:rsidRDefault="001F0878" w:rsidP="001F0878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187E27A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508374B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773DEAF8" w14:textId="7C8FFB70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1F0878" w:rsidRPr="00B75089" w14:paraId="34B2DBC5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9C11338" w14:textId="77777777" w:rsidR="001F0878" w:rsidRPr="00B75089" w:rsidRDefault="001F0878" w:rsidP="001F0878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F0B3C2F" w14:textId="4F353E51" w:rsidR="001F0878" w:rsidRPr="00B75089" w:rsidRDefault="008138AF" w:rsidP="001F087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  <w:r w:rsidR="000F25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10C60B" w14:textId="77777777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78A6E36" w14:textId="46910C60" w:rsidR="001F0878" w:rsidRPr="00B75089" w:rsidRDefault="001F0878" w:rsidP="001F0878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and Exposure</w:t>
            </w:r>
          </w:p>
        </w:tc>
      </w:tr>
    </w:tbl>
    <w:p w14:paraId="4CA5D95A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38A01AA8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19021C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D49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287E9A94" w14:textId="77777777" w:rsidTr="009E22D0">
        <w:trPr>
          <w:trHeight w:val="693"/>
        </w:trPr>
        <w:tc>
          <w:tcPr>
            <w:tcW w:w="10509" w:type="dxa"/>
          </w:tcPr>
          <w:p w14:paraId="712B62EA" w14:textId="7CEE4CD6" w:rsidR="009E22D0" w:rsidRPr="00DD048C" w:rsidRDefault="00DD048C" w:rsidP="00E57FB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D048C">
              <w:rPr>
                <w:rFonts w:ascii="Arial" w:hAnsi="Arial" w:cs="Arial"/>
                <w:sz w:val="20"/>
                <w:szCs w:val="20"/>
              </w:rPr>
              <w:t xml:space="preserve">To work closely with the 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employees in MPS </w:t>
            </w:r>
            <w:r w:rsidRPr="00DD048C">
              <w:rPr>
                <w:rFonts w:ascii="Arial" w:hAnsi="Arial" w:cs="Arial"/>
                <w:sz w:val="20"/>
                <w:szCs w:val="20"/>
              </w:rPr>
              <w:t>to deliver analysis to support reserving. The role will involve implementing actuarial models and some contact with internal and external stakeholders, both experts and lay-people.</w:t>
            </w:r>
          </w:p>
        </w:tc>
      </w:tr>
    </w:tbl>
    <w:p w14:paraId="1BFCE514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343" w:type="dxa"/>
        <w:tblInd w:w="-709" w:type="dxa"/>
        <w:tblLook w:val="04A0" w:firstRow="1" w:lastRow="0" w:firstColumn="1" w:lastColumn="0" w:noHBand="0" w:noVBand="1"/>
      </w:tblPr>
      <w:tblGrid>
        <w:gridCol w:w="6346"/>
        <w:gridCol w:w="3997"/>
      </w:tblGrid>
      <w:tr w:rsidR="009E22D0" w:rsidRPr="00B75089" w14:paraId="67A98DEE" w14:textId="77777777" w:rsidTr="00E57FB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4FECE46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3A0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14:paraId="7C325C1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2F02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2C34137" w14:textId="77777777" w:rsidR="009E22D0" w:rsidRPr="00B75089" w:rsidRDefault="009E22D0" w:rsidP="00E57FB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CE03DCB" w14:textId="77777777" w:rsidTr="00E57FB0">
        <w:trPr>
          <w:trHeight w:val="578"/>
        </w:trPr>
        <w:tc>
          <w:tcPr>
            <w:tcW w:w="6346" w:type="dxa"/>
          </w:tcPr>
          <w:p w14:paraId="3FD287B1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0F4A2395" w14:textId="34518498" w:rsidR="00DB6826" w:rsidRDefault="00DB6826" w:rsidP="007A58D6">
            <w:pPr>
              <w:pStyle w:val="ListParagraph"/>
              <w:numPr>
                <w:ilvl w:val="0"/>
                <w:numId w:val="1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DB6826">
              <w:rPr>
                <w:rFonts w:ascii="Arial" w:eastAsia="Calibri" w:hAnsi="Arial" w:cs="Arial"/>
                <w:sz w:val="20"/>
                <w:szCs w:val="20"/>
              </w:rPr>
              <w:t xml:space="preserve"> the </w:t>
            </w:r>
            <w:r w:rsidR="007A58D6">
              <w:rPr>
                <w:rFonts w:ascii="Arial" w:eastAsia="Calibri" w:hAnsi="Arial" w:cs="Arial"/>
                <w:sz w:val="20"/>
                <w:szCs w:val="20"/>
              </w:rPr>
              <w:t>bi-</w:t>
            </w:r>
            <w:r w:rsidRPr="00DB6826">
              <w:rPr>
                <w:rFonts w:ascii="Arial" w:eastAsia="Calibri" w:hAnsi="Arial" w:cs="Arial"/>
                <w:sz w:val="20"/>
                <w:szCs w:val="20"/>
              </w:rPr>
              <w:t>annual valuation of MPS provisions for use in company accounts including all necessary reporting and additional analysis</w:t>
            </w:r>
          </w:p>
          <w:p w14:paraId="7C7E3319" w14:textId="013D4C12" w:rsidR="007A58D6" w:rsidRDefault="007A58D6" w:rsidP="007A58D6">
            <w:pPr>
              <w:pStyle w:val="ListParagraph"/>
              <w:numPr>
                <w:ilvl w:val="0"/>
                <w:numId w:val="1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quarterly booking of reserves internally</w:t>
            </w:r>
          </w:p>
          <w:p w14:paraId="24DA49F9" w14:textId="365881F4" w:rsidR="00FE79A0" w:rsidRPr="00DB6826" w:rsidRDefault="00FE79A0" w:rsidP="007A58D6">
            <w:pPr>
              <w:pStyle w:val="ListParagraph"/>
              <w:numPr>
                <w:ilvl w:val="0"/>
                <w:numId w:val="1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additional analyses to understand key areas where reserving needs to investigate further</w:t>
            </w:r>
          </w:p>
          <w:p w14:paraId="0AAC72C9" w14:textId="05E0EB1B" w:rsidR="00DB6826" w:rsidRPr="00644BB2" w:rsidRDefault="00DB6826" w:rsidP="007A58D6">
            <w:pPr>
              <w:pStyle w:val="ListParagraph"/>
              <w:numPr>
                <w:ilvl w:val="0"/>
                <w:numId w:val="1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Monitor actual versus expected experience</w:t>
            </w:r>
          </w:p>
        </w:tc>
        <w:tc>
          <w:tcPr>
            <w:tcW w:w="3997" w:type="dxa"/>
          </w:tcPr>
          <w:p w14:paraId="163870FD" w14:textId="77777777" w:rsidR="00E57FB0" w:rsidRDefault="00E57FB0" w:rsidP="007A58D6">
            <w:pPr>
              <w:pStyle w:val="ListParagraph"/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A8FEF13" w14:textId="300605E3" w:rsidR="00DB6826" w:rsidRDefault="00DB6826" w:rsidP="007A58D6">
            <w:pPr>
              <w:pStyle w:val="ListParagraph"/>
              <w:numPr>
                <w:ilvl w:val="0"/>
                <w:numId w:val="3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Valuation delivered within defined timescales and subject to appropriate governance</w:t>
            </w:r>
          </w:p>
          <w:p w14:paraId="28DAB00C" w14:textId="393D6730" w:rsidR="007A58D6" w:rsidRDefault="007A58D6" w:rsidP="007A58D6">
            <w:pPr>
              <w:pStyle w:val="ListParagraph"/>
              <w:numPr>
                <w:ilvl w:val="0"/>
                <w:numId w:val="3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booking in a timely and accurate manner</w:t>
            </w:r>
          </w:p>
          <w:p w14:paraId="30C912BA" w14:textId="2FB1727F" w:rsidR="009E22D0" w:rsidRPr="00B75089" w:rsidRDefault="00DB6826" w:rsidP="007A58D6">
            <w:pPr>
              <w:pStyle w:val="ListParagraph"/>
              <w:numPr>
                <w:ilvl w:val="0"/>
                <w:numId w:val="3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 analysis delivered within defined timescales</w:t>
            </w:r>
          </w:p>
        </w:tc>
      </w:tr>
      <w:tr w:rsidR="009E22D0" w:rsidRPr="00B75089" w14:paraId="3FE312FD" w14:textId="77777777" w:rsidTr="00E57FB0">
        <w:trPr>
          <w:trHeight w:val="591"/>
        </w:trPr>
        <w:tc>
          <w:tcPr>
            <w:tcW w:w="6346" w:type="dxa"/>
          </w:tcPr>
          <w:p w14:paraId="66F7A1EA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450B72C9" w14:textId="77777777" w:rsidR="009E22D0" w:rsidRPr="00644BB2" w:rsidRDefault="00644BB2" w:rsidP="007A58D6">
            <w:pPr>
              <w:pStyle w:val="ListParagraph"/>
              <w:numPr>
                <w:ilvl w:val="0"/>
                <w:numId w:val="4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</w:tc>
        <w:tc>
          <w:tcPr>
            <w:tcW w:w="3997" w:type="dxa"/>
          </w:tcPr>
          <w:p w14:paraId="633F6E9F" w14:textId="77777777" w:rsidR="00E57FB0" w:rsidRDefault="00E57FB0" w:rsidP="00E57FB0">
            <w:pPr>
              <w:pStyle w:val="ListParagraph"/>
              <w:tabs>
                <w:tab w:val="left" w:pos="3145"/>
              </w:tabs>
              <w:spacing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A3C93BA" w14:textId="5A10CBD9" w:rsidR="007A58D6" w:rsidRDefault="007A58D6" w:rsidP="007A58D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steady progress in IFOA exams</w:t>
            </w:r>
          </w:p>
          <w:p w14:paraId="3DE88871" w14:textId="0866A3E5" w:rsidR="00644BB2" w:rsidRPr="00E57FB0" w:rsidRDefault="00644BB2" w:rsidP="007A58D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57FB0">
              <w:rPr>
                <w:rFonts w:ascii="Arial" w:hAnsi="Arial" w:cs="Arial"/>
                <w:sz w:val="20"/>
                <w:szCs w:val="20"/>
              </w:rPr>
              <w:t>Personal Development Plan</w:t>
            </w:r>
          </w:p>
          <w:p w14:paraId="1CC739BC" w14:textId="5A79C373" w:rsidR="00644BB2" w:rsidRPr="00644BB2" w:rsidRDefault="00B41136" w:rsidP="007A58D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team</w:t>
            </w:r>
          </w:p>
          <w:p w14:paraId="21FE9D3E" w14:textId="77777777" w:rsidR="009E22D0" w:rsidRPr="00B75089" w:rsidRDefault="009E22D0" w:rsidP="002D7ABB">
            <w:pPr>
              <w:pStyle w:val="ListParagraph"/>
              <w:tabs>
                <w:tab w:val="left" w:pos="3145"/>
              </w:tabs>
              <w:spacing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084D41B" w14:textId="77777777" w:rsidTr="00E57FB0">
        <w:trPr>
          <w:trHeight w:val="591"/>
        </w:trPr>
        <w:tc>
          <w:tcPr>
            <w:tcW w:w="6346" w:type="dxa"/>
          </w:tcPr>
          <w:p w14:paraId="055C47FC" w14:textId="77777777" w:rsidR="00252C6B" w:rsidRDefault="009E22D0" w:rsidP="00252C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5C2A3134" w14:textId="77777777" w:rsidR="00B41136" w:rsidRDefault="00B41136" w:rsidP="007A58D6">
            <w:pPr>
              <w:pStyle w:val="ListParagraph"/>
              <w:numPr>
                <w:ilvl w:val="0"/>
                <w:numId w:val="17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all in-scope work complies with the Actuarial Reserving Policy, Capital Modelling Policy, Reinsurance Policy and any other relevant policies</w:t>
            </w:r>
          </w:p>
          <w:p w14:paraId="4C44E1B8" w14:textId="77777777" w:rsidR="009E22D0" w:rsidRDefault="00B41136" w:rsidP="007A58D6">
            <w:pPr>
              <w:pStyle w:val="ListParagraph"/>
              <w:numPr>
                <w:ilvl w:val="0"/>
                <w:numId w:val="17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all in-scope work complies with actuarial standards including the Actuarial Code, TAS 100 and APS X2</w:t>
            </w:r>
          </w:p>
          <w:p w14:paraId="40423A61" w14:textId="1EB56644" w:rsidR="000F2565" w:rsidRPr="00252C6B" w:rsidRDefault="000F2565" w:rsidP="007A58D6">
            <w:pPr>
              <w:pStyle w:val="ListParagraph"/>
              <w:numPr>
                <w:ilvl w:val="0"/>
                <w:numId w:val="17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to successful delivery of </w:t>
            </w:r>
            <w:r w:rsidR="00FE79A0">
              <w:rPr>
                <w:rFonts w:ascii="Arial" w:hAnsi="Arial" w:cs="Arial"/>
                <w:sz w:val="20"/>
                <w:szCs w:val="20"/>
              </w:rPr>
              <w:t>Re</w:t>
            </w:r>
            <w:r w:rsidR="007A58D6">
              <w:rPr>
                <w:rFonts w:ascii="Arial" w:hAnsi="Arial" w:cs="Arial"/>
                <w:sz w:val="20"/>
                <w:szCs w:val="20"/>
              </w:rPr>
              <w:t>serving</w:t>
            </w:r>
            <w:r w:rsidR="00FE79A0">
              <w:rPr>
                <w:rFonts w:ascii="Arial" w:hAnsi="Arial" w:cs="Arial"/>
                <w:sz w:val="20"/>
                <w:szCs w:val="20"/>
              </w:rPr>
              <w:t xml:space="preserve"> Committee and </w:t>
            </w:r>
            <w:r w:rsidR="007A58D6">
              <w:rPr>
                <w:rFonts w:ascii="Arial" w:hAnsi="Arial" w:cs="Arial"/>
                <w:sz w:val="20"/>
                <w:szCs w:val="20"/>
              </w:rPr>
              <w:t>associated meetings</w:t>
            </w:r>
          </w:p>
        </w:tc>
        <w:tc>
          <w:tcPr>
            <w:tcW w:w="3997" w:type="dxa"/>
          </w:tcPr>
          <w:p w14:paraId="47C67F0B" w14:textId="77777777" w:rsidR="00E57FB0" w:rsidRPr="00E57FB0" w:rsidRDefault="00E57FB0" w:rsidP="00E57FB0">
            <w:pPr>
              <w:pStyle w:val="ListParagraph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D974109" w14:textId="77777777" w:rsidR="002D7ABB" w:rsidRPr="002D7ABB" w:rsidRDefault="009E22D0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EA6CFF5" w14:textId="77777777" w:rsidR="009E22D0" w:rsidRPr="00B75089" w:rsidRDefault="009E22D0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52C9CB13" w14:textId="77777777" w:rsidR="00FB4711" w:rsidRDefault="00FB4711" w:rsidP="00B75089">
      <w:pPr>
        <w:spacing w:line="240" w:lineRule="auto"/>
        <w:rPr>
          <w:rFonts w:ascii="Arial" w:hAnsi="Arial" w:cs="Arial"/>
        </w:rPr>
      </w:pPr>
    </w:p>
    <w:p w14:paraId="1915717B" w14:textId="77777777" w:rsidR="007A58D6" w:rsidRPr="00B75089" w:rsidRDefault="007A58D6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4CDAA91D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2808BB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7DCAD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A344CBB" w14:textId="77777777" w:rsidTr="00FF16B8">
        <w:trPr>
          <w:trHeight w:val="693"/>
        </w:trPr>
        <w:tc>
          <w:tcPr>
            <w:tcW w:w="10490" w:type="dxa"/>
          </w:tcPr>
          <w:p w14:paraId="70FBC801" w14:textId="296C4723" w:rsidR="00DB6826" w:rsidRDefault="00DB6826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B6826">
              <w:rPr>
                <w:rFonts w:ascii="Arial" w:hAnsi="Arial" w:cs="Arial"/>
                <w:sz w:val="20"/>
                <w:szCs w:val="20"/>
              </w:rPr>
              <w:t>Assist in performing annual reserve reviews including data preparation, modelling, reporting and interpreting and communicating results.</w:t>
            </w:r>
            <w:r w:rsidRPr="004A0046">
              <w:rPr>
                <w:rFonts w:ascii="Arial" w:hAnsi="Arial" w:cs="Arial"/>
                <w:sz w:val="20"/>
                <w:szCs w:val="20"/>
              </w:rPr>
              <w:t xml:space="preserve"> The level of involvement will depend on resourcing needs and the role holder’s interests.</w:t>
            </w:r>
          </w:p>
          <w:p w14:paraId="54E296AC" w14:textId="35F2EC12" w:rsidR="00DB6826" w:rsidRDefault="00DB6826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Ensure that the quality of data used in the actuarial processes is of the highest standard and reconciles to source data from the data warehouse</w:t>
            </w:r>
          </w:p>
          <w:p w14:paraId="40ADBBC5" w14:textId="52990F08" w:rsidR="00DB6826" w:rsidRDefault="00DB6826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A0046">
              <w:rPr>
                <w:rFonts w:ascii="Arial" w:hAnsi="Arial" w:cs="Arial"/>
                <w:sz w:val="20"/>
                <w:szCs w:val="20"/>
              </w:rPr>
              <w:t>Stay abreast of best practice to ensure that all actuarial work is of the highest standard and improve the use and understanding of actuarial analysis within MPS</w:t>
            </w:r>
          </w:p>
          <w:p w14:paraId="19937D22" w14:textId="411B4AC5" w:rsidR="00DB6826" w:rsidRPr="00252C6B" w:rsidRDefault="00DB6826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i/>
                <w:sz w:val="20"/>
                <w:szCs w:val="20"/>
              </w:rPr>
            </w:pPr>
            <w:r w:rsidRPr="00DB6826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</w:t>
            </w:r>
            <w:r w:rsidR="00BD2D15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5370716F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D211A7C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BBC7E73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BD46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30E6943" w14:textId="77777777" w:rsidTr="007F42E6">
        <w:trPr>
          <w:trHeight w:val="693"/>
        </w:trPr>
        <w:tc>
          <w:tcPr>
            <w:tcW w:w="10490" w:type="dxa"/>
          </w:tcPr>
          <w:p w14:paraId="5A01EC6C" w14:textId="69920450" w:rsidR="005542D1" w:rsidRDefault="00252C6B" w:rsidP="007A58D6">
            <w:pPr>
              <w:pStyle w:val="ListParagraph"/>
              <w:numPr>
                <w:ilvl w:val="0"/>
                <w:numId w:val="12"/>
              </w:numPr>
              <w:spacing w:after="120" w:afterAutospacing="0"/>
              <w:ind w:left="470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Reserving Committee </w:t>
            </w:r>
            <w:r w:rsidR="00FE79A0">
              <w:rPr>
                <w:rFonts w:ascii="Arial" w:hAnsi="Arial" w:cs="Arial"/>
                <w:sz w:val="20"/>
                <w:szCs w:val="20"/>
              </w:rPr>
              <w:t xml:space="preserve">and sub-committees </w:t>
            </w:r>
            <w:r>
              <w:rPr>
                <w:rFonts w:ascii="Arial" w:hAnsi="Arial" w:cs="Arial"/>
                <w:sz w:val="20"/>
                <w:szCs w:val="20"/>
              </w:rPr>
              <w:t>attendee</w:t>
            </w:r>
          </w:p>
          <w:p w14:paraId="16D7E239" w14:textId="25AC539C" w:rsidR="00252C6B" w:rsidRPr="001F0878" w:rsidRDefault="00252C6B" w:rsidP="001F0878">
            <w:pPr>
              <w:spacing w:after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93743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096728B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FF9CC00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3DA7E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DB1D9F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4539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007A6CB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3CA24C93" w14:textId="77777777" w:rsidTr="00FF16B8">
        <w:trPr>
          <w:trHeight w:val="211"/>
        </w:trPr>
        <w:tc>
          <w:tcPr>
            <w:tcW w:w="6008" w:type="dxa"/>
          </w:tcPr>
          <w:p w14:paraId="66B50C32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AA1CF80" w14:textId="77777777" w:rsidR="0056188D" w:rsidRPr="00B75089" w:rsidRDefault="00252C6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36F96AF0" w14:textId="77777777" w:rsidTr="00FF16B8">
        <w:trPr>
          <w:trHeight w:val="211"/>
        </w:trPr>
        <w:tc>
          <w:tcPr>
            <w:tcW w:w="6008" w:type="dxa"/>
          </w:tcPr>
          <w:p w14:paraId="39606C88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3308209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4B92745" w14:textId="77777777" w:rsidTr="00FF16B8">
        <w:trPr>
          <w:trHeight w:val="211"/>
        </w:trPr>
        <w:tc>
          <w:tcPr>
            <w:tcW w:w="6008" w:type="dxa"/>
          </w:tcPr>
          <w:p w14:paraId="1988409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B22E508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18E8" w:rsidRPr="00B75089" w14:paraId="4107AB93" w14:textId="77777777" w:rsidTr="00FF16B8">
        <w:trPr>
          <w:trHeight w:val="211"/>
        </w:trPr>
        <w:tc>
          <w:tcPr>
            <w:tcW w:w="6008" w:type="dxa"/>
          </w:tcPr>
          <w:p w14:paraId="6E2440D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FD8F3A3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4191CBA8" w14:textId="77777777" w:rsidTr="00FF16B8">
        <w:trPr>
          <w:trHeight w:val="211"/>
        </w:trPr>
        <w:tc>
          <w:tcPr>
            <w:tcW w:w="6008" w:type="dxa"/>
          </w:tcPr>
          <w:p w14:paraId="5E4E0DE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37744A8" w14:textId="77777777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42DDB144" w14:textId="77777777" w:rsidTr="00FF16B8">
        <w:trPr>
          <w:trHeight w:val="211"/>
        </w:trPr>
        <w:tc>
          <w:tcPr>
            <w:tcW w:w="6008" w:type="dxa"/>
          </w:tcPr>
          <w:p w14:paraId="113EB1C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D377058" w14:textId="1B427BB9" w:rsidR="004D18E8" w:rsidRPr="00B75089" w:rsidRDefault="00252C6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55230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937"/>
        <w:gridCol w:w="3544"/>
        <w:gridCol w:w="3515"/>
      </w:tblGrid>
      <w:tr w:rsidR="00FF16B8" w:rsidRPr="00B75089" w14:paraId="353D324F" w14:textId="77777777" w:rsidTr="00681595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DE65A9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7" w:type="dxa"/>
            <w:shd w:val="clear" w:color="auto" w:fill="D9D9D9" w:themeFill="background1" w:themeFillShade="D9"/>
          </w:tcPr>
          <w:p w14:paraId="192F1BD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F4CDD87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02DB61A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0BFAFC30" w14:textId="77777777" w:rsidTr="00681595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7BFCBDC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937" w:type="dxa"/>
          </w:tcPr>
          <w:p w14:paraId="644E6AF3" w14:textId="1E28C786" w:rsidR="00E40AC5" w:rsidRPr="0090120B" w:rsidRDefault="00681595" w:rsidP="007A58D6">
            <w:pPr>
              <w:numPr>
                <w:ilvl w:val="0"/>
                <w:numId w:val="5"/>
              </w:numPr>
              <w:spacing w:before="100" w:after="120" w:afterAutospacing="0" w:line="240" w:lineRule="auto"/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r w:rsidRPr="00681595">
              <w:rPr>
                <w:rFonts w:ascii="Arial" w:hAnsi="Arial" w:cs="Arial"/>
                <w:sz w:val="20"/>
                <w:szCs w:val="20"/>
              </w:rPr>
              <w:t>Numerical degree</w:t>
            </w:r>
          </w:p>
        </w:tc>
        <w:tc>
          <w:tcPr>
            <w:tcW w:w="3544" w:type="dxa"/>
          </w:tcPr>
          <w:p w14:paraId="2F69E4FD" w14:textId="7DC543E5" w:rsidR="00681595" w:rsidRDefault="00681595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Excellent Excel skills</w:t>
            </w:r>
          </w:p>
          <w:p w14:paraId="13CA9836" w14:textId="1CFDD50A" w:rsidR="00552302" w:rsidRPr="00681595" w:rsidRDefault="00552302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problem-solving skills</w:t>
            </w:r>
          </w:p>
          <w:p w14:paraId="06D9AB63" w14:textId="77777777" w:rsidR="00681595" w:rsidRPr="00681595" w:rsidRDefault="00681595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Attention to detail</w:t>
            </w:r>
          </w:p>
          <w:p w14:paraId="12639AF9" w14:textId="77777777" w:rsidR="00E40AC5" w:rsidRPr="00552302" w:rsidRDefault="00681595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An ability to quickly learn and adapt to the appropriate tools to enable rapid data extraction, manipulation and report generation</w:t>
            </w:r>
          </w:p>
          <w:p w14:paraId="67909DB9" w14:textId="79E89080" w:rsidR="00552302" w:rsidRPr="00552302" w:rsidRDefault="00552302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Able to present data, analysis and conclusions clearly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both orally and </w:t>
            </w:r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>in a written format</w:t>
            </w:r>
          </w:p>
        </w:tc>
        <w:tc>
          <w:tcPr>
            <w:tcW w:w="3515" w:type="dxa"/>
          </w:tcPr>
          <w:p w14:paraId="291B00D0" w14:textId="11616F10" w:rsidR="00E40AC5" w:rsidRPr="00795757" w:rsidRDefault="00681595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Experience of working in a</w:t>
            </w:r>
            <w:r w:rsidR="0090120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actuarial team</w:t>
            </w:r>
          </w:p>
        </w:tc>
      </w:tr>
      <w:tr w:rsidR="00FF16B8" w:rsidRPr="00B75089" w14:paraId="6E2A5250" w14:textId="77777777" w:rsidTr="00681595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6A981F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937" w:type="dxa"/>
          </w:tcPr>
          <w:p w14:paraId="147A08A1" w14:textId="77777777" w:rsidR="00E40AC5" w:rsidRPr="00552302" w:rsidRDefault="00552302" w:rsidP="007A58D6">
            <w:pPr>
              <w:pStyle w:val="ListParagraph"/>
              <w:numPr>
                <w:ilvl w:val="0"/>
                <w:numId w:val="20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medical insurance / indemnity</w:t>
            </w:r>
          </w:p>
          <w:p w14:paraId="541CA81D" w14:textId="77777777" w:rsidR="00552302" w:rsidRDefault="00552302" w:rsidP="007A58D6">
            <w:pPr>
              <w:pStyle w:val="ListParagraph"/>
              <w:numPr>
                <w:ilvl w:val="0"/>
                <w:numId w:val="20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52302">
              <w:rPr>
                <w:rFonts w:ascii="Arial" w:eastAsia="Calibri" w:hAnsi="Arial" w:cs="Arial"/>
                <w:bCs/>
                <w:sz w:val="20"/>
                <w:szCs w:val="20"/>
              </w:rPr>
              <w:t>Knowledge of reserving tools and approaches</w:t>
            </w:r>
          </w:p>
          <w:p w14:paraId="1FECF532" w14:textId="3CF3DD86" w:rsidR="00552302" w:rsidRPr="007A58D6" w:rsidRDefault="00552302" w:rsidP="007A58D6">
            <w:pPr>
              <w:spacing w:after="120" w:afterAutospacing="0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878AA0" w14:textId="77777777" w:rsidR="00E40AC5" w:rsidRPr="009E0E2C" w:rsidRDefault="00681595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lastRenderedPageBreak/>
              <w:t>Coding experience (</w:t>
            </w:r>
            <w:proofErr w:type="spellStart"/>
            <w:r w:rsidRPr="00681595">
              <w:rPr>
                <w:rFonts w:ascii="Arial" w:eastAsia="Calibri" w:hAnsi="Arial" w:cs="Arial"/>
                <w:sz w:val="20"/>
                <w:szCs w:val="20"/>
              </w:rPr>
              <w:t>eg</w:t>
            </w:r>
            <w:proofErr w:type="spellEnd"/>
            <w:r w:rsidRPr="00681595">
              <w:rPr>
                <w:rFonts w:ascii="Arial" w:eastAsia="Calibri" w:hAnsi="Arial" w:cs="Arial"/>
                <w:sz w:val="20"/>
                <w:szCs w:val="20"/>
              </w:rPr>
              <w:t xml:space="preserve"> VBA. SQL)</w:t>
            </w:r>
          </w:p>
          <w:p w14:paraId="6ADDDF55" w14:textId="77777777" w:rsidR="00874F07" w:rsidRPr="00681595" w:rsidRDefault="00874F07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Confidence to review and challenge other’s work</w:t>
            </w:r>
          </w:p>
          <w:p w14:paraId="4088AE67" w14:textId="6EE92043" w:rsidR="00874F07" w:rsidRPr="009E0E2C" w:rsidRDefault="00874F07" w:rsidP="009E0E2C">
            <w:pPr>
              <w:spacing w:after="0"/>
              <w:ind w:lef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5" w:type="dxa"/>
          </w:tcPr>
          <w:p w14:paraId="0B44EC4F" w14:textId="35761B40" w:rsidR="00E40AC5" w:rsidRPr="00552302" w:rsidRDefault="00681595" w:rsidP="007A58D6">
            <w:pPr>
              <w:pStyle w:val="ListParagraph"/>
              <w:numPr>
                <w:ilvl w:val="0"/>
                <w:numId w:val="5"/>
              </w:numPr>
              <w:spacing w:after="120" w:afterAutospacing="0"/>
              <w:ind w:left="470" w:hanging="357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681595">
              <w:rPr>
                <w:rFonts w:ascii="Arial" w:eastAsia="Calibri" w:hAnsi="Arial" w:cs="Arial"/>
                <w:sz w:val="20"/>
                <w:szCs w:val="20"/>
              </w:rPr>
              <w:t>Experience of capital modelling or reserving for long-tail liability classes</w:t>
            </w:r>
          </w:p>
        </w:tc>
      </w:tr>
    </w:tbl>
    <w:p w14:paraId="68A4A911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A91A" w14:textId="77777777" w:rsidR="00FA2F6C" w:rsidRDefault="00FA2F6C" w:rsidP="009E22D0">
      <w:pPr>
        <w:spacing w:after="0" w:line="240" w:lineRule="auto"/>
      </w:pPr>
      <w:r>
        <w:separator/>
      </w:r>
    </w:p>
  </w:endnote>
  <w:endnote w:type="continuationSeparator" w:id="0">
    <w:p w14:paraId="7320C797" w14:textId="77777777" w:rsidR="00FA2F6C" w:rsidRDefault="00FA2F6C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72C0" w14:textId="0BCD50C4" w:rsidR="00BD2D15" w:rsidRPr="009E0E2C" w:rsidRDefault="00BD2D15" w:rsidP="009E0E2C">
    <w:pPr>
      <w:pStyle w:val="Footer"/>
      <w:rPr>
        <w:rFonts w:eastAsiaTheme="minorHAnsi"/>
      </w:rPr>
    </w:pPr>
    <w:r w:rsidRPr="009E0E2C">
      <w:rPr>
        <w:rFonts w:eastAsia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1DFA" w14:textId="77777777" w:rsidR="00FA2F6C" w:rsidRDefault="00FA2F6C" w:rsidP="009E22D0">
      <w:pPr>
        <w:spacing w:after="0" w:line="240" w:lineRule="auto"/>
      </w:pPr>
      <w:r>
        <w:separator/>
      </w:r>
    </w:p>
  </w:footnote>
  <w:footnote w:type="continuationSeparator" w:id="0">
    <w:p w14:paraId="59F65F92" w14:textId="77777777" w:rsidR="00FA2F6C" w:rsidRDefault="00FA2F6C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F11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60871D0" wp14:editId="4D0315EC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C09BD"/>
    <w:multiLevelType w:val="hybridMultilevel"/>
    <w:tmpl w:val="A63CC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794C4F"/>
    <w:multiLevelType w:val="hybridMultilevel"/>
    <w:tmpl w:val="D70C8C9E"/>
    <w:lvl w:ilvl="0" w:tplc="C014380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726AB762"/>
    <w:lvl w:ilvl="0" w:tplc="730E6AC4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6ED9"/>
    <w:multiLevelType w:val="singleLevel"/>
    <w:tmpl w:val="B35AFE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401E14"/>
    <w:multiLevelType w:val="hybridMultilevel"/>
    <w:tmpl w:val="1910FB30"/>
    <w:lvl w:ilvl="0" w:tplc="D9A047F6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7802"/>
    <w:multiLevelType w:val="hybridMultilevel"/>
    <w:tmpl w:val="A2A07F04"/>
    <w:lvl w:ilvl="0" w:tplc="D3B8ED3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501FD"/>
    <w:multiLevelType w:val="hybridMultilevel"/>
    <w:tmpl w:val="699AD246"/>
    <w:lvl w:ilvl="0" w:tplc="2E364034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9AC"/>
    <w:multiLevelType w:val="hybridMultilevel"/>
    <w:tmpl w:val="865C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142B3"/>
    <w:multiLevelType w:val="hybridMultilevel"/>
    <w:tmpl w:val="4C5A8D30"/>
    <w:lvl w:ilvl="0" w:tplc="AAD40496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2814">
    <w:abstractNumId w:val="9"/>
  </w:num>
  <w:num w:numId="2" w16cid:durableId="1382972503">
    <w:abstractNumId w:val="0"/>
  </w:num>
  <w:num w:numId="3" w16cid:durableId="1557545320">
    <w:abstractNumId w:val="7"/>
  </w:num>
  <w:num w:numId="4" w16cid:durableId="1459108195">
    <w:abstractNumId w:val="5"/>
  </w:num>
  <w:num w:numId="5" w16cid:durableId="1447039779">
    <w:abstractNumId w:val="8"/>
  </w:num>
  <w:num w:numId="6" w16cid:durableId="2020572792">
    <w:abstractNumId w:val="1"/>
  </w:num>
  <w:num w:numId="7" w16cid:durableId="1758474184">
    <w:abstractNumId w:val="11"/>
  </w:num>
  <w:num w:numId="8" w16cid:durableId="889536420">
    <w:abstractNumId w:val="17"/>
  </w:num>
  <w:num w:numId="9" w16cid:durableId="1741709320">
    <w:abstractNumId w:val="19"/>
  </w:num>
  <w:num w:numId="10" w16cid:durableId="364525788">
    <w:abstractNumId w:val="15"/>
  </w:num>
  <w:num w:numId="11" w16cid:durableId="1439180908">
    <w:abstractNumId w:val="2"/>
  </w:num>
  <w:num w:numId="12" w16cid:durableId="1284114908">
    <w:abstractNumId w:val="16"/>
  </w:num>
  <w:num w:numId="13" w16cid:durableId="882058713">
    <w:abstractNumId w:val="12"/>
  </w:num>
  <w:num w:numId="14" w16cid:durableId="1262908683">
    <w:abstractNumId w:val="13"/>
  </w:num>
  <w:num w:numId="15" w16cid:durableId="573710332">
    <w:abstractNumId w:val="10"/>
  </w:num>
  <w:num w:numId="16" w16cid:durableId="975647615">
    <w:abstractNumId w:val="3"/>
  </w:num>
  <w:num w:numId="17" w16cid:durableId="1570383501">
    <w:abstractNumId w:val="4"/>
  </w:num>
  <w:num w:numId="18" w16cid:durableId="1389916610">
    <w:abstractNumId w:val="6"/>
  </w:num>
  <w:num w:numId="19" w16cid:durableId="1589925859">
    <w:abstractNumId w:val="14"/>
  </w:num>
  <w:num w:numId="20" w16cid:durableId="850491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82F60"/>
    <w:rsid w:val="000E4361"/>
    <w:rsid w:val="000F2565"/>
    <w:rsid w:val="001F0878"/>
    <w:rsid w:val="00252C6B"/>
    <w:rsid w:val="002B557F"/>
    <w:rsid w:val="002D7ABB"/>
    <w:rsid w:val="0034560B"/>
    <w:rsid w:val="00400906"/>
    <w:rsid w:val="00431F12"/>
    <w:rsid w:val="004D18E8"/>
    <w:rsid w:val="00544DDB"/>
    <w:rsid w:val="00552302"/>
    <w:rsid w:val="005542D1"/>
    <w:rsid w:val="0056188D"/>
    <w:rsid w:val="005E1001"/>
    <w:rsid w:val="006219B1"/>
    <w:rsid w:val="00644BB2"/>
    <w:rsid w:val="00666EB3"/>
    <w:rsid w:val="00681595"/>
    <w:rsid w:val="00682628"/>
    <w:rsid w:val="00711E46"/>
    <w:rsid w:val="00717094"/>
    <w:rsid w:val="007559E9"/>
    <w:rsid w:val="00795757"/>
    <w:rsid w:val="007A58D6"/>
    <w:rsid w:val="007E7CA1"/>
    <w:rsid w:val="008120EC"/>
    <w:rsid w:val="008138AF"/>
    <w:rsid w:val="00813AEB"/>
    <w:rsid w:val="00874F07"/>
    <w:rsid w:val="008F2089"/>
    <w:rsid w:val="0090120B"/>
    <w:rsid w:val="0094541B"/>
    <w:rsid w:val="009E0E2C"/>
    <w:rsid w:val="009E22D0"/>
    <w:rsid w:val="00A43CF0"/>
    <w:rsid w:val="00A4414A"/>
    <w:rsid w:val="00A612E8"/>
    <w:rsid w:val="00AD34A1"/>
    <w:rsid w:val="00AF0992"/>
    <w:rsid w:val="00B41136"/>
    <w:rsid w:val="00B522EC"/>
    <w:rsid w:val="00B75089"/>
    <w:rsid w:val="00BD2D15"/>
    <w:rsid w:val="00C112AD"/>
    <w:rsid w:val="00C91CFA"/>
    <w:rsid w:val="00DA26B3"/>
    <w:rsid w:val="00DB6826"/>
    <w:rsid w:val="00DC593B"/>
    <w:rsid w:val="00DD048C"/>
    <w:rsid w:val="00E01E46"/>
    <w:rsid w:val="00E40AC5"/>
    <w:rsid w:val="00E57FB0"/>
    <w:rsid w:val="00E90081"/>
    <w:rsid w:val="00F5319A"/>
    <w:rsid w:val="00FA2F6C"/>
    <w:rsid w:val="00FB4711"/>
    <w:rsid w:val="00FE79A0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9A7B9C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9ED57E9A-2E54-42F9-B3F4-E61AD8AA60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504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Chris Littlefair</cp:lastModifiedBy>
  <cp:revision>5</cp:revision>
  <dcterms:created xsi:type="dcterms:W3CDTF">2023-07-28T09:58:00Z</dcterms:created>
  <dcterms:modified xsi:type="dcterms:W3CDTF">2025-08-27T13:48:00Z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c099d01d-072d-4587-ad2b-ae831e6014fb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