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86"/>
        <w:gridCol w:w="2316"/>
        <w:gridCol w:w="2196"/>
        <w:gridCol w:w="2718"/>
      </w:tblGrid>
      <w:tr w:rsidR="004020D9" w:rsidRPr="00F4489A" w14:paraId="4067B24B" w14:textId="77777777" w:rsidTr="009E0E2B">
        <w:tc>
          <w:tcPr>
            <w:tcW w:w="1786" w:type="dxa"/>
            <w:shd w:val="clear" w:color="auto" w:fill="D9D9D9" w:themeFill="background1" w:themeFillShade="D9"/>
          </w:tcPr>
          <w:p w14:paraId="286C6418" w14:textId="733C715A" w:rsidR="004020D9" w:rsidRPr="00F4489A" w:rsidRDefault="004020D9">
            <w:pPr>
              <w:rPr>
                <w:rFonts w:ascii="Arial" w:hAnsi="Arial" w:cs="Arial"/>
                <w:b/>
                <w:bCs/>
                <w:sz w:val="20"/>
                <w:szCs w:val="20"/>
              </w:rPr>
            </w:pPr>
            <w:r w:rsidRPr="00F4489A">
              <w:rPr>
                <w:rFonts w:ascii="Arial" w:hAnsi="Arial" w:cs="Arial"/>
                <w:b/>
                <w:bCs/>
                <w:sz w:val="20"/>
                <w:szCs w:val="20"/>
              </w:rPr>
              <w:t>Role Title:</w:t>
            </w:r>
          </w:p>
        </w:tc>
        <w:tc>
          <w:tcPr>
            <w:tcW w:w="2316" w:type="dxa"/>
          </w:tcPr>
          <w:p w14:paraId="6148AE21" w14:textId="1DB53DA9" w:rsidR="004020D9" w:rsidRPr="00F4489A" w:rsidRDefault="00982113">
            <w:pPr>
              <w:rPr>
                <w:rFonts w:ascii="Arial" w:hAnsi="Arial" w:cs="Arial"/>
                <w:iCs/>
                <w:sz w:val="20"/>
                <w:szCs w:val="20"/>
                <w:highlight w:val="yellow"/>
              </w:rPr>
            </w:pPr>
            <w:r w:rsidRPr="00F4489A">
              <w:rPr>
                <w:rFonts w:ascii="Arial" w:hAnsi="Arial" w:cs="Arial"/>
                <w:iCs/>
                <w:sz w:val="20"/>
                <w:szCs w:val="20"/>
              </w:rPr>
              <w:t xml:space="preserve">Pricing and Data Science Analyst </w:t>
            </w:r>
          </w:p>
        </w:tc>
        <w:tc>
          <w:tcPr>
            <w:tcW w:w="2196" w:type="dxa"/>
            <w:shd w:val="clear" w:color="auto" w:fill="D9D9D9" w:themeFill="background1" w:themeFillShade="D9"/>
          </w:tcPr>
          <w:p w14:paraId="3C4D17C8" w14:textId="49676A7D" w:rsidR="004020D9" w:rsidRPr="00F4489A" w:rsidRDefault="004020D9">
            <w:pPr>
              <w:rPr>
                <w:rFonts w:ascii="Arial" w:hAnsi="Arial" w:cs="Arial"/>
                <w:b/>
                <w:bCs/>
                <w:sz w:val="20"/>
                <w:szCs w:val="20"/>
              </w:rPr>
            </w:pPr>
            <w:r w:rsidRPr="00F4489A">
              <w:rPr>
                <w:rFonts w:ascii="Arial" w:hAnsi="Arial" w:cs="Arial"/>
                <w:b/>
                <w:bCs/>
                <w:sz w:val="20"/>
                <w:szCs w:val="20"/>
              </w:rPr>
              <w:t>Responsible to:</w:t>
            </w:r>
          </w:p>
        </w:tc>
        <w:tc>
          <w:tcPr>
            <w:tcW w:w="2718" w:type="dxa"/>
          </w:tcPr>
          <w:p w14:paraId="74962DCB" w14:textId="2F2F48D4" w:rsidR="004020D9" w:rsidRPr="00F4489A" w:rsidRDefault="00982113">
            <w:pPr>
              <w:rPr>
                <w:rFonts w:ascii="Arial" w:hAnsi="Arial" w:cs="Arial"/>
                <w:sz w:val="20"/>
                <w:szCs w:val="20"/>
              </w:rPr>
            </w:pPr>
            <w:r w:rsidRPr="00F4489A">
              <w:rPr>
                <w:rFonts w:ascii="Arial" w:hAnsi="Arial" w:cs="Arial"/>
                <w:sz w:val="20"/>
                <w:szCs w:val="20"/>
              </w:rPr>
              <w:t xml:space="preserve">Pricing and Data Science Manager </w:t>
            </w:r>
          </w:p>
        </w:tc>
      </w:tr>
      <w:tr w:rsidR="004020D9" w:rsidRPr="00F4489A" w14:paraId="640738DF" w14:textId="77777777" w:rsidTr="009E0E2B">
        <w:tc>
          <w:tcPr>
            <w:tcW w:w="1786" w:type="dxa"/>
            <w:shd w:val="clear" w:color="auto" w:fill="D9D9D9" w:themeFill="background1" w:themeFillShade="D9"/>
          </w:tcPr>
          <w:p w14:paraId="652FB04D" w14:textId="3BB0E443" w:rsidR="004020D9" w:rsidRPr="00F4489A" w:rsidRDefault="004020D9">
            <w:pPr>
              <w:rPr>
                <w:rFonts w:ascii="Arial" w:hAnsi="Arial" w:cs="Arial"/>
                <w:b/>
                <w:bCs/>
                <w:sz w:val="20"/>
                <w:szCs w:val="20"/>
                <w:lang w:val="en-US"/>
              </w:rPr>
            </w:pPr>
            <w:r w:rsidRPr="00F4489A">
              <w:rPr>
                <w:rFonts w:ascii="Arial" w:hAnsi="Arial" w:cs="Arial"/>
                <w:b/>
                <w:bCs/>
                <w:sz w:val="20"/>
                <w:szCs w:val="20"/>
              </w:rPr>
              <w:t>Division:</w:t>
            </w:r>
          </w:p>
        </w:tc>
        <w:tc>
          <w:tcPr>
            <w:tcW w:w="2316" w:type="dxa"/>
          </w:tcPr>
          <w:p w14:paraId="718B57A1" w14:textId="5439CAA7" w:rsidR="004020D9" w:rsidRPr="00F4489A" w:rsidRDefault="00982113">
            <w:pPr>
              <w:rPr>
                <w:rFonts w:ascii="Arial" w:hAnsi="Arial" w:cs="Arial"/>
                <w:sz w:val="20"/>
                <w:szCs w:val="20"/>
              </w:rPr>
            </w:pPr>
            <w:r w:rsidRPr="00F4489A">
              <w:rPr>
                <w:rFonts w:ascii="Arial" w:hAnsi="Arial" w:cs="Arial"/>
                <w:sz w:val="20"/>
                <w:szCs w:val="20"/>
              </w:rPr>
              <w:t xml:space="preserve">Underwriting and Pricing </w:t>
            </w:r>
          </w:p>
        </w:tc>
        <w:tc>
          <w:tcPr>
            <w:tcW w:w="2196" w:type="dxa"/>
            <w:shd w:val="clear" w:color="auto" w:fill="D9D9D9" w:themeFill="background1" w:themeFillShade="D9"/>
          </w:tcPr>
          <w:p w14:paraId="09ADBDA4" w14:textId="5AD48C7E" w:rsidR="004020D9" w:rsidRPr="00F4489A" w:rsidRDefault="004020D9">
            <w:pPr>
              <w:rPr>
                <w:rFonts w:ascii="Arial" w:hAnsi="Arial" w:cs="Arial"/>
                <w:b/>
                <w:bCs/>
                <w:sz w:val="20"/>
                <w:szCs w:val="20"/>
              </w:rPr>
            </w:pPr>
            <w:r w:rsidRPr="00F4489A">
              <w:rPr>
                <w:rFonts w:ascii="Arial" w:hAnsi="Arial" w:cs="Arial"/>
                <w:b/>
                <w:bCs/>
                <w:sz w:val="20"/>
                <w:szCs w:val="20"/>
              </w:rPr>
              <w:t>Department:</w:t>
            </w:r>
          </w:p>
        </w:tc>
        <w:tc>
          <w:tcPr>
            <w:tcW w:w="2718" w:type="dxa"/>
          </w:tcPr>
          <w:p w14:paraId="695103AF" w14:textId="28A793B1" w:rsidR="004020D9" w:rsidRPr="00F4489A" w:rsidRDefault="00982113">
            <w:pPr>
              <w:rPr>
                <w:rFonts w:ascii="Arial" w:hAnsi="Arial" w:cs="Arial"/>
                <w:sz w:val="20"/>
                <w:szCs w:val="20"/>
              </w:rPr>
            </w:pPr>
            <w:r w:rsidRPr="00F4489A">
              <w:rPr>
                <w:rFonts w:ascii="Arial" w:hAnsi="Arial" w:cs="Arial"/>
                <w:sz w:val="20"/>
                <w:szCs w:val="20"/>
              </w:rPr>
              <w:t>Underwriting and Pricing (UK &amp; Ire)</w:t>
            </w:r>
          </w:p>
        </w:tc>
      </w:tr>
      <w:tr w:rsidR="00682B78" w:rsidRPr="00F4489A" w14:paraId="0E488215" w14:textId="77777777" w:rsidTr="009E0E2B">
        <w:trPr>
          <w:trHeight w:val="113"/>
        </w:trPr>
        <w:tc>
          <w:tcPr>
            <w:tcW w:w="1786" w:type="dxa"/>
            <w:vMerge w:val="restart"/>
            <w:shd w:val="clear" w:color="auto" w:fill="D9D9D9" w:themeFill="background1" w:themeFillShade="D9"/>
          </w:tcPr>
          <w:p w14:paraId="041DBD39" w14:textId="1EB7F1C7" w:rsidR="00682B78" w:rsidRPr="00F4489A" w:rsidRDefault="00682B78">
            <w:pPr>
              <w:rPr>
                <w:rFonts w:ascii="Arial" w:hAnsi="Arial" w:cs="Arial"/>
                <w:b/>
                <w:bCs/>
                <w:sz w:val="20"/>
                <w:szCs w:val="20"/>
              </w:rPr>
            </w:pPr>
            <w:r w:rsidRPr="00F4489A">
              <w:rPr>
                <w:rFonts w:ascii="Arial" w:hAnsi="Arial" w:cs="Arial"/>
                <w:b/>
                <w:bCs/>
                <w:sz w:val="20"/>
                <w:szCs w:val="20"/>
              </w:rPr>
              <w:t>Direct reports:</w:t>
            </w:r>
          </w:p>
        </w:tc>
        <w:tc>
          <w:tcPr>
            <w:tcW w:w="2316" w:type="dxa"/>
            <w:vMerge w:val="restart"/>
          </w:tcPr>
          <w:p w14:paraId="03F0F101" w14:textId="4220347C" w:rsidR="0018266D" w:rsidRPr="00F4489A" w:rsidRDefault="00982113" w:rsidP="009E0E2B">
            <w:pPr>
              <w:rPr>
                <w:rFonts w:ascii="Arial" w:hAnsi="Arial" w:cs="Arial"/>
                <w:sz w:val="20"/>
                <w:szCs w:val="20"/>
              </w:rPr>
            </w:pPr>
            <w:r w:rsidRPr="00F4489A">
              <w:rPr>
                <w:rFonts w:ascii="Arial" w:hAnsi="Arial" w:cs="Arial"/>
                <w:sz w:val="20"/>
                <w:szCs w:val="20"/>
              </w:rPr>
              <w:t>N/A</w:t>
            </w:r>
          </w:p>
        </w:tc>
        <w:tc>
          <w:tcPr>
            <w:tcW w:w="2196" w:type="dxa"/>
            <w:shd w:val="clear" w:color="auto" w:fill="D9D9D9" w:themeFill="background1" w:themeFillShade="D9"/>
          </w:tcPr>
          <w:p w14:paraId="4D5A56CE" w14:textId="5A86C04E" w:rsidR="00682B78" w:rsidRPr="00F4489A" w:rsidRDefault="00682B78">
            <w:pPr>
              <w:rPr>
                <w:rFonts w:ascii="Arial" w:hAnsi="Arial" w:cs="Arial"/>
                <w:b/>
                <w:bCs/>
                <w:sz w:val="20"/>
                <w:szCs w:val="20"/>
              </w:rPr>
            </w:pPr>
            <w:r w:rsidRPr="00F4489A">
              <w:rPr>
                <w:rFonts w:ascii="Arial" w:hAnsi="Arial" w:cs="Arial"/>
                <w:b/>
                <w:bCs/>
                <w:sz w:val="20"/>
                <w:szCs w:val="20"/>
              </w:rPr>
              <w:t>Scope:</w:t>
            </w:r>
          </w:p>
        </w:tc>
        <w:tc>
          <w:tcPr>
            <w:tcW w:w="2718" w:type="dxa"/>
          </w:tcPr>
          <w:p w14:paraId="1DC0F375" w14:textId="19A4B3E3" w:rsidR="00682B78" w:rsidRPr="00F4489A" w:rsidRDefault="00982113">
            <w:pPr>
              <w:rPr>
                <w:rFonts w:ascii="Arial" w:hAnsi="Arial" w:cs="Arial"/>
                <w:sz w:val="20"/>
                <w:szCs w:val="20"/>
              </w:rPr>
            </w:pPr>
            <w:r w:rsidRPr="00F4489A">
              <w:rPr>
                <w:rFonts w:ascii="Arial" w:hAnsi="Arial" w:cs="Arial"/>
                <w:sz w:val="20"/>
                <w:szCs w:val="20"/>
              </w:rPr>
              <w:t xml:space="preserve">UK &amp; Ireland </w:t>
            </w:r>
          </w:p>
        </w:tc>
      </w:tr>
      <w:tr w:rsidR="00682B78" w:rsidRPr="00F4489A" w14:paraId="767794F8" w14:textId="77777777" w:rsidTr="009E0E2B">
        <w:trPr>
          <w:trHeight w:val="112"/>
        </w:trPr>
        <w:tc>
          <w:tcPr>
            <w:tcW w:w="1786" w:type="dxa"/>
            <w:vMerge/>
            <w:shd w:val="clear" w:color="auto" w:fill="D9D9D9" w:themeFill="background1" w:themeFillShade="D9"/>
          </w:tcPr>
          <w:p w14:paraId="24708886" w14:textId="77777777" w:rsidR="00682B78" w:rsidRPr="00F4489A" w:rsidRDefault="00682B78">
            <w:pPr>
              <w:rPr>
                <w:rFonts w:ascii="Arial" w:hAnsi="Arial" w:cs="Arial"/>
                <w:b/>
                <w:bCs/>
                <w:sz w:val="20"/>
                <w:szCs w:val="20"/>
              </w:rPr>
            </w:pPr>
          </w:p>
        </w:tc>
        <w:tc>
          <w:tcPr>
            <w:tcW w:w="2316" w:type="dxa"/>
            <w:vMerge/>
          </w:tcPr>
          <w:p w14:paraId="0C324AFC" w14:textId="77777777" w:rsidR="00682B78" w:rsidRPr="00F4489A" w:rsidRDefault="00682B78">
            <w:pPr>
              <w:rPr>
                <w:rFonts w:ascii="Arial" w:hAnsi="Arial" w:cs="Arial"/>
                <w:b/>
                <w:bCs/>
                <w:sz w:val="20"/>
                <w:szCs w:val="20"/>
              </w:rPr>
            </w:pPr>
          </w:p>
        </w:tc>
        <w:tc>
          <w:tcPr>
            <w:tcW w:w="2196" w:type="dxa"/>
            <w:shd w:val="clear" w:color="auto" w:fill="D9D9D9" w:themeFill="background1" w:themeFillShade="D9"/>
          </w:tcPr>
          <w:p w14:paraId="007351E9" w14:textId="43DFC24F" w:rsidR="00682B78" w:rsidRPr="00F4489A" w:rsidRDefault="00682B78">
            <w:pPr>
              <w:rPr>
                <w:rFonts w:ascii="Arial" w:hAnsi="Arial" w:cs="Arial"/>
                <w:b/>
                <w:bCs/>
                <w:sz w:val="20"/>
                <w:szCs w:val="20"/>
              </w:rPr>
            </w:pPr>
            <w:r w:rsidRPr="00F4489A">
              <w:rPr>
                <w:rFonts w:ascii="Arial" w:hAnsi="Arial" w:cs="Arial"/>
                <w:b/>
                <w:bCs/>
                <w:sz w:val="20"/>
                <w:szCs w:val="20"/>
              </w:rPr>
              <w:t>Scale:</w:t>
            </w:r>
          </w:p>
        </w:tc>
        <w:tc>
          <w:tcPr>
            <w:tcW w:w="2718" w:type="dxa"/>
          </w:tcPr>
          <w:p w14:paraId="6319F923" w14:textId="13DDC0DB" w:rsidR="00682B78" w:rsidRPr="00F4489A" w:rsidRDefault="00982113" w:rsidP="00682B78">
            <w:pPr>
              <w:rPr>
                <w:rFonts w:ascii="Arial" w:hAnsi="Arial" w:cs="Arial"/>
                <w:sz w:val="20"/>
                <w:szCs w:val="20"/>
              </w:rPr>
            </w:pPr>
            <w:r w:rsidRPr="00F4489A">
              <w:rPr>
                <w:rFonts w:ascii="Arial" w:hAnsi="Arial" w:cs="Arial"/>
                <w:sz w:val="20"/>
                <w:szCs w:val="20"/>
              </w:rPr>
              <w:t>N/A</w:t>
            </w:r>
          </w:p>
        </w:tc>
      </w:tr>
      <w:tr w:rsidR="00682B78" w:rsidRPr="00F4489A" w14:paraId="337C6880" w14:textId="77777777" w:rsidTr="009E0E2B">
        <w:tc>
          <w:tcPr>
            <w:tcW w:w="1786" w:type="dxa"/>
            <w:vMerge/>
            <w:shd w:val="clear" w:color="auto" w:fill="D9D9D9" w:themeFill="background1" w:themeFillShade="D9"/>
          </w:tcPr>
          <w:p w14:paraId="0EB32A69" w14:textId="23559146" w:rsidR="00682B78" w:rsidRPr="00F4489A" w:rsidRDefault="00682B78">
            <w:pPr>
              <w:rPr>
                <w:rFonts w:ascii="Arial" w:hAnsi="Arial" w:cs="Arial"/>
                <w:b/>
                <w:bCs/>
                <w:sz w:val="20"/>
                <w:szCs w:val="20"/>
              </w:rPr>
            </w:pPr>
          </w:p>
        </w:tc>
        <w:tc>
          <w:tcPr>
            <w:tcW w:w="2316" w:type="dxa"/>
            <w:vMerge/>
          </w:tcPr>
          <w:p w14:paraId="0A6EBC44" w14:textId="77777777" w:rsidR="00682B78" w:rsidRPr="00F4489A" w:rsidRDefault="00682B78">
            <w:pPr>
              <w:rPr>
                <w:rFonts w:ascii="Arial" w:hAnsi="Arial" w:cs="Arial"/>
                <w:b/>
                <w:bCs/>
                <w:sz w:val="20"/>
                <w:szCs w:val="20"/>
              </w:rPr>
            </w:pPr>
          </w:p>
        </w:tc>
        <w:tc>
          <w:tcPr>
            <w:tcW w:w="2196" w:type="dxa"/>
            <w:shd w:val="clear" w:color="auto" w:fill="D9D9D9" w:themeFill="background1" w:themeFillShade="D9"/>
          </w:tcPr>
          <w:p w14:paraId="55392011" w14:textId="2EA250CE" w:rsidR="00682B78" w:rsidRPr="00F4489A" w:rsidRDefault="00682B78">
            <w:pPr>
              <w:rPr>
                <w:rFonts w:ascii="Arial" w:hAnsi="Arial" w:cs="Arial"/>
                <w:b/>
                <w:bCs/>
                <w:sz w:val="20"/>
                <w:szCs w:val="20"/>
              </w:rPr>
            </w:pPr>
            <w:r w:rsidRPr="00F4489A">
              <w:rPr>
                <w:rFonts w:ascii="Arial" w:hAnsi="Arial" w:cs="Arial"/>
                <w:b/>
                <w:bCs/>
                <w:sz w:val="20"/>
                <w:szCs w:val="20"/>
              </w:rPr>
              <w:t>Regulated Function:</w:t>
            </w:r>
          </w:p>
        </w:tc>
        <w:tc>
          <w:tcPr>
            <w:tcW w:w="2718" w:type="dxa"/>
          </w:tcPr>
          <w:p w14:paraId="2D40F3AD" w14:textId="5BBF31E9" w:rsidR="00682B78" w:rsidRPr="00F4489A" w:rsidRDefault="00982113">
            <w:pPr>
              <w:rPr>
                <w:rFonts w:ascii="Arial" w:hAnsi="Arial" w:cs="Arial"/>
                <w:sz w:val="20"/>
                <w:szCs w:val="20"/>
              </w:rPr>
            </w:pPr>
            <w:r w:rsidRPr="00F4489A">
              <w:rPr>
                <w:rFonts w:ascii="Arial" w:hAnsi="Arial" w:cs="Arial"/>
                <w:sz w:val="20"/>
                <w:szCs w:val="20"/>
              </w:rPr>
              <w:t>No</w:t>
            </w:r>
          </w:p>
          <w:p w14:paraId="7DF6596C" w14:textId="77777777" w:rsidR="00761467" w:rsidRPr="00F4489A" w:rsidRDefault="00761467">
            <w:pPr>
              <w:rPr>
                <w:rFonts w:ascii="Arial" w:hAnsi="Arial" w:cs="Arial"/>
                <w:sz w:val="20"/>
                <w:szCs w:val="20"/>
              </w:rPr>
            </w:pPr>
          </w:p>
          <w:p w14:paraId="761A96B5" w14:textId="77777777" w:rsidR="00761467" w:rsidRPr="00F4489A" w:rsidRDefault="00761467">
            <w:pPr>
              <w:rPr>
                <w:rFonts w:ascii="Arial" w:hAnsi="Arial" w:cs="Arial"/>
                <w:sz w:val="20"/>
                <w:szCs w:val="20"/>
              </w:rPr>
            </w:pPr>
          </w:p>
          <w:p w14:paraId="0B902231" w14:textId="6ED17FA4" w:rsidR="00761467" w:rsidRPr="00F4489A" w:rsidRDefault="00761467">
            <w:pPr>
              <w:rPr>
                <w:rFonts w:ascii="Arial" w:hAnsi="Arial" w:cs="Arial"/>
                <w:sz w:val="20"/>
                <w:szCs w:val="20"/>
              </w:rPr>
            </w:pPr>
          </w:p>
        </w:tc>
      </w:tr>
      <w:tr w:rsidR="009E0E2B" w:rsidRPr="00F4489A" w14:paraId="0D0B5E0A" w14:textId="77777777" w:rsidTr="009E0E2B">
        <w:tc>
          <w:tcPr>
            <w:tcW w:w="1786" w:type="dxa"/>
            <w:shd w:val="clear" w:color="auto" w:fill="D9D9D9" w:themeFill="background1" w:themeFillShade="D9"/>
          </w:tcPr>
          <w:p w14:paraId="2141E753" w14:textId="261233AF" w:rsidR="009E0E2B" w:rsidRPr="00F4489A" w:rsidRDefault="009E0E2B" w:rsidP="009E0E2B">
            <w:pPr>
              <w:rPr>
                <w:rFonts w:ascii="Arial" w:hAnsi="Arial" w:cs="Arial"/>
                <w:b/>
                <w:bCs/>
                <w:sz w:val="20"/>
                <w:szCs w:val="20"/>
              </w:rPr>
            </w:pPr>
            <w:r w:rsidRPr="00F4489A">
              <w:rPr>
                <w:rFonts w:ascii="Arial" w:hAnsi="Arial" w:cs="Arial"/>
                <w:b/>
                <w:bCs/>
                <w:sz w:val="20"/>
                <w:szCs w:val="20"/>
              </w:rPr>
              <w:t>Evaluation Level:</w:t>
            </w:r>
          </w:p>
        </w:tc>
        <w:tc>
          <w:tcPr>
            <w:tcW w:w="2316" w:type="dxa"/>
          </w:tcPr>
          <w:p w14:paraId="78540F26" w14:textId="02F27D42" w:rsidR="009E0E2B" w:rsidRPr="002C7592" w:rsidRDefault="00706D18" w:rsidP="009E0E2B">
            <w:pPr>
              <w:rPr>
                <w:rFonts w:ascii="Arial" w:hAnsi="Arial" w:cs="Arial"/>
                <w:b/>
                <w:bCs/>
                <w:iCs/>
                <w:sz w:val="20"/>
                <w:szCs w:val="20"/>
              </w:rPr>
            </w:pPr>
            <w:r w:rsidRPr="002C7592">
              <w:rPr>
                <w:rFonts w:ascii="Arial" w:hAnsi="Arial" w:cs="Arial"/>
                <w:iCs/>
                <w:sz w:val="20"/>
                <w:szCs w:val="20"/>
              </w:rPr>
              <w:t xml:space="preserve">Implement 2 </w:t>
            </w:r>
            <w:r w:rsidR="009E0E2B" w:rsidRPr="002C7592">
              <w:rPr>
                <w:rFonts w:ascii="Arial" w:hAnsi="Arial" w:cs="Arial"/>
                <w:iCs/>
                <w:sz w:val="20"/>
                <w:szCs w:val="20"/>
              </w:rPr>
              <w:t xml:space="preserve"> </w:t>
            </w:r>
          </w:p>
        </w:tc>
        <w:tc>
          <w:tcPr>
            <w:tcW w:w="2196" w:type="dxa"/>
            <w:shd w:val="clear" w:color="auto" w:fill="D9D9D9" w:themeFill="background1" w:themeFillShade="D9"/>
          </w:tcPr>
          <w:p w14:paraId="4BD62741" w14:textId="1767E535" w:rsidR="009E0E2B" w:rsidRPr="002C7592" w:rsidRDefault="009E0E2B" w:rsidP="009E0E2B">
            <w:pPr>
              <w:rPr>
                <w:rFonts w:ascii="Arial" w:hAnsi="Arial" w:cs="Arial"/>
                <w:b/>
                <w:bCs/>
                <w:iCs/>
                <w:sz w:val="20"/>
                <w:szCs w:val="20"/>
              </w:rPr>
            </w:pPr>
            <w:r w:rsidRPr="002C7592">
              <w:rPr>
                <w:rFonts w:ascii="Arial" w:hAnsi="Arial" w:cs="Arial"/>
                <w:b/>
                <w:bCs/>
                <w:iCs/>
                <w:sz w:val="20"/>
                <w:szCs w:val="20"/>
              </w:rPr>
              <w:t>Role Family:</w:t>
            </w:r>
          </w:p>
        </w:tc>
        <w:tc>
          <w:tcPr>
            <w:tcW w:w="2718" w:type="dxa"/>
          </w:tcPr>
          <w:p w14:paraId="71ACCB97" w14:textId="45330BB6" w:rsidR="009E0E2B" w:rsidRPr="002C7592" w:rsidRDefault="00706D18" w:rsidP="009E0E2B">
            <w:pPr>
              <w:rPr>
                <w:rFonts w:ascii="Arial" w:hAnsi="Arial" w:cs="Arial"/>
                <w:iCs/>
                <w:sz w:val="20"/>
                <w:szCs w:val="20"/>
              </w:rPr>
            </w:pPr>
            <w:r w:rsidRPr="002C7592">
              <w:rPr>
                <w:rFonts w:ascii="Arial" w:hAnsi="Arial" w:cs="Arial"/>
                <w:iCs/>
                <w:sz w:val="20"/>
                <w:szCs w:val="20"/>
              </w:rPr>
              <w:t xml:space="preserve">Member Risk and Exposure </w:t>
            </w:r>
          </w:p>
        </w:tc>
      </w:tr>
    </w:tbl>
    <w:p w14:paraId="618DCFA4" w14:textId="26917A79" w:rsidR="005E70A7" w:rsidRPr="00F4489A"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F4489A" w14:paraId="6C8D341E" w14:textId="77777777" w:rsidTr="004020D9">
        <w:tc>
          <w:tcPr>
            <w:tcW w:w="9016" w:type="dxa"/>
            <w:shd w:val="clear" w:color="auto" w:fill="D9D9D9" w:themeFill="background1" w:themeFillShade="D9"/>
          </w:tcPr>
          <w:p w14:paraId="63090838" w14:textId="23CE207E" w:rsidR="004020D9" w:rsidRPr="00F4489A" w:rsidRDefault="00BE01EF">
            <w:pPr>
              <w:rPr>
                <w:rFonts w:ascii="Arial" w:hAnsi="Arial" w:cs="Arial"/>
                <w:sz w:val="20"/>
                <w:szCs w:val="20"/>
              </w:rPr>
            </w:pPr>
            <w:r w:rsidRPr="00F4489A">
              <w:rPr>
                <w:rFonts w:ascii="Arial" w:hAnsi="Arial" w:cs="Arial"/>
                <w:b/>
                <w:sz w:val="20"/>
                <w:szCs w:val="20"/>
              </w:rPr>
              <w:t>R</w:t>
            </w:r>
            <w:r w:rsidR="004020D9" w:rsidRPr="00F4489A">
              <w:rPr>
                <w:rFonts w:ascii="Arial" w:hAnsi="Arial" w:cs="Arial"/>
                <w:b/>
                <w:sz w:val="20"/>
                <w:szCs w:val="20"/>
              </w:rPr>
              <w:t>ole Purpose</w:t>
            </w:r>
          </w:p>
        </w:tc>
      </w:tr>
      <w:tr w:rsidR="004020D9" w:rsidRPr="00F4489A" w14:paraId="4D122A70" w14:textId="77777777" w:rsidTr="004020D9">
        <w:trPr>
          <w:trHeight w:val="978"/>
        </w:trPr>
        <w:tc>
          <w:tcPr>
            <w:tcW w:w="9016" w:type="dxa"/>
          </w:tcPr>
          <w:p w14:paraId="3357402A" w14:textId="77777777" w:rsidR="004020D9" w:rsidRPr="00F4489A" w:rsidRDefault="004020D9" w:rsidP="00C64931">
            <w:pPr>
              <w:rPr>
                <w:rFonts w:ascii="Arial" w:hAnsi="Arial" w:cs="Arial"/>
                <w:sz w:val="20"/>
                <w:szCs w:val="20"/>
              </w:rPr>
            </w:pPr>
          </w:p>
          <w:p w14:paraId="354564B9" w14:textId="40FEFD57" w:rsidR="00ED35E7" w:rsidRPr="00F4489A" w:rsidRDefault="00ED35E7" w:rsidP="00ED35E7">
            <w:pPr>
              <w:rPr>
                <w:rFonts w:ascii="Arial" w:hAnsi="Arial" w:cs="Arial"/>
                <w:sz w:val="20"/>
                <w:szCs w:val="20"/>
              </w:rPr>
            </w:pPr>
            <w:r w:rsidRPr="00F4489A">
              <w:rPr>
                <w:rFonts w:ascii="Arial" w:hAnsi="Arial" w:cs="Arial"/>
                <w:sz w:val="20"/>
                <w:szCs w:val="20"/>
              </w:rPr>
              <w:t>The Pricing and Data Science Analyst is an analytical role responsible for delivering data-driven pricing, modelling, and system development across the UK &amp; Ireland portfolio. The role combines pricing analysis, data science modelling, and pricing system development to support sustainable growth, robust underwriting, effective risk management, and excellent member outcomes.</w:t>
            </w:r>
          </w:p>
          <w:p w14:paraId="66707233" w14:textId="77777777" w:rsidR="00ED35E7" w:rsidRPr="00F4489A" w:rsidRDefault="00ED35E7" w:rsidP="00ED35E7">
            <w:pPr>
              <w:rPr>
                <w:rFonts w:ascii="Arial" w:hAnsi="Arial" w:cs="Arial"/>
                <w:sz w:val="20"/>
                <w:szCs w:val="20"/>
              </w:rPr>
            </w:pPr>
          </w:p>
          <w:p w14:paraId="4235E267" w14:textId="77777777" w:rsidR="00ED35E7" w:rsidRPr="00F4489A" w:rsidRDefault="00ED35E7" w:rsidP="00ED35E7">
            <w:pPr>
              <w:rPr>
                <w:rFonts w:ascii="Arial" w:hAnsi="Arial" w:cs="Arial"/>
                <w:sz w:val="20"/>
                <w:szCs w:val="20"/>
              </w:rPr>
            </w:pPr>
            <w:r w:rsidRPr="00F4489A">
              <w:rPr>
                <w:rFonts w:ascii="Arial" w:hAnsi="Arial" w:cs="Arial"/>
                <w:sz w:val="20"/>
                <w:szCs w:val="20"/>
              </w:rPr>
              <w:t>The role supports the end-to-end pricing lifecycle: from data extraction and modelling, through technical and retail pricing decisions, to the implementation and monitoring of pricing coefficients within core pricing systems. The postholder will work closely with Pricing, Data Science, Underwriting, Digital, and Data teams, and will take ownership of their own professional development across pricing, analytics, and data science disciplines.</w:t>
            </w:r>
          </w:p>
          <w:p w14:paraId="001552B2" w14:textId="199D9412" w:rsidR="00ED35E7" w:rsidRPr="00F4489A" w:rsidRDefault="00ED35E7" w:rsidP="00C64931">
            <w:pPr>
              <w:rPr>
                <w:rFonts w:ascii="Arial" w:hAnsi="Arial" w:cs="Arial"/>
                <w:sz w:val="20"/>
                <w:szCs w:val="20"/>
              </w:rPr>
            </w:pPr>
          </w:p>
        </w:tc>
      </w:tr>
    </w:tbl>
    <w:p w14:paraId="608A4A16" w14:textId="77777777" w:rsidR="00483FDE" w:rsidRPr="00F4489A" w:rsidRDefault="00483FDE">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F4489A" w14:paraId="0ECE7A79" w14:textId="77777777" w:rsidTr="00682B78">
        <w:tc>
          <w:tcPr>
            <w:tcW w:w="5382" w:type="dxa"/>
            <w:shd w:val="clear" w:color="auto" w:fill="D9D9D9" w:themeFill="background1" w:themeFillShade="D9"/>
          </w:tcPr>
          <w:p w14:paraId="39D14031" w14:textId="5E95B832" w:rsidR="004020D9" w:rsidRPr="00F4489A" w:rsidRDefault="004020D9" w:rsidP="004020D9">
            <w:pPr>
              <w:rPr>
                <w:rFonts w:ascii="Arial" w:hAnsi="Arial" w:cs="Arial"/>
                <w:sz w:val="20"/>
                <w:szCs w:val="20"/>
              </w:rPr>
            </w:pPr>
            <w:r w:rsidRPr="00F4489A">
              <w:rPr>
                <w:rFonts w:ascii="Arial" w:hAnsi="Arial" w:cs="Arial"/>
                <w:b/>
                <w:sz w:val="20"/>
                <w:szCs w:val="20"/>
              </w:rPr>
              <w:t>Accountabilities (R</w:t>
            </w:r>
            <w:r w:rsidRPr="00F4489A">
              <w:rPr>
                <w:rFonts w:ascii="Arial" w:hAnsi="Arial" w:cs="Arial"/>
                <w:b/>
                <w:sz w:val="20"/>
                <w:szCs w:val="20"/>
                <w:u w:val="single"/>
              </w:rPr>
              <w:t>A</w:t>
            </w:r>
            <w:r w:rsidRPr="00F4489A">
              <w:rPr>
                <w:rFonts w:ascii="Arial" w:hAnsi="Arial" w:cs="Arial"/>
                <w:b/>
                <w:sz w:val="20"/>
                <w:szCs w:val="20"/>
              </w:rPr>
              <w:t>CI)</w:t>
            </w:r>
            <w:r w:rsidR="002C2C1E" w:rsidRPr="00F4489A">
              <w:rPr>
                <w:rFonts w:ascii="Arial" w:hAnsi="Arial" w:cs="Arial"/>
                <w:b/>
                <w:sz w:val="20"/>
                <w:szCs w:val="20"/>
              </w:rPr>
              <w:t xml:space="preserve"> </w:t>
            </w:r>
          </w:p>
        </w:tc>
        <w:tc>
          <w:tcPr>
            <w:tcW w:w="3827" w:type="dxa"/>
            <w:shd w:val="clear" w:color="auto" w:fill="D9D9D9" w:themeFill="background1" w:themeFillShade="D9"/>
          </w:tcPr>
          <w:p w14:paraId="48B15FBD" w14:textId="6186803E" w:rsidR="004020D9" w:rsidRPr="00F4489A" w:rsidRDefault="00F4489A" w:rsidP="004020D9">
            <w:pPr>
              <w:rPr>
                <w:rFonts w:ascii="Arial" w:hAnsi="Arial" w:cs="Arial"/>
                <w:b/>
                <w:sz w:val="20"/>
                <w:szCs w:val="20"/>
              </w:rPr>
            </w:pPr>
            <w:r>
              <w:rPr>
                <w:rFonts w:ascii="Arial" w:hAnsi="Arial" w:cs="Arial"/>
                <w:b/>
                <w:sz w:val="20"/>
                <w:szCs w:val="20"/>
              </w:rPr>
              <w:t>M</w:t>
            </w:r>
            <w:r w:rsidR="004020D9" w:rsidRPr="00F4489A">
              <w:rPr>
                <w:rFonts w:ascii="Arial" w:hAnsi="Arial" w:cs="Arial"/>
                <w:b/>
                <w:sz w:val="20"/>
                <w:szCs w:val="20"/>
              </w:rPr>
              <w:t>easures of Success/KPI’s</w:t>
            </w:r>
          </w:p>
          <w:p w14:paraId="2B985A57" w14:textId="244D6892" w:rsidR="00682B78" w:rsidRPr="00F4489A" w:rsidRDefault="00682B78" w:rsidP="00982113">
            <w:pPr>
              <w:widowControl w:val="0"/>
              <w:autoSpaceDE w:val="0"/>
              <w:autoSpaceDN w:val="0"/>
              <w:adjustRightInd w:val="0"/>
              <w:spacing w:before="3"/>
              <w:rPr>
                <w:rFonts w:ascii="Arial" w:hAnsi="Arial" w:cs="Arial"/>
                <w:sz w:val="20"/>
                <w:szCs w:val="20"/>
              </w:rPr>
            </w:pPr>
          </w:p>
        </w:tc>
      </w:tr>
      <w:tr w:rsidR="004020D9" w:rsidRPr="00F4489A" w14:paraId="669C6DD4" w14:textId="77777777" w:rsidTr="00682B78">
        <w:tc>
          <w:tcPr>
            <w:tcW w:w="5382" w:type="dxa"/>
          </w:tcPr>
          <w:p w14:paraId="48210106" w14:textId="1BF7ECF1" w:rsidR="006D5EDD" w:rsidRPr="00F4489A" w:rsidRDefault="006D5EDD" w:rsidP="006D5EDD">
            <w:pPr>
              <w:spacing w:line="278" w:lineRule="auto"/>
              <w:rPr>
                <w:rFonts w:ascii="Arial" w:hAnsi="Arial" w:cs="Arial"/>
                <w:b/>
                <w:bCs/>
                <w:sz w:val="20"/>
                <w:szCs w:val="20"/>
              </w:rPr>
            </w:pPr>
            <w:r w:rsidRPr="00F4489A">
              <w:rPr>
                <w:rFonts w:ascii="Arial" w:hAnsi="Arial" w:cs="Arial"/>
                <w:b/>
                <w:bCs/>
                <w:sz w:val="20"/>
                <w:szCs w:val="20"/>
              </w:rPr>
              <w:t>Operational</w:t>
            </w:r>
          </w:p>
          <w:p w14:paraId="2C2FBAA1" w14:textId="005E9905"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the delivery of the Pricing &amp; Data Science strategy, ensuring alignment with corporate objectives and long-term financial sustainability.</w:t>
            </w:r>
          </w:p>
          <w:p w14:paraId="3E178669" w14:textId="5A60F77D"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Provide analytical insight and technical ex</w:t>
            </w:r>
            <w:r w:rsidR="00F4489A">
              <w:rPr>
                <w:rFonts w:ascii="Arial" w:hAnsi="Arial" w:cs="Arial"/>
                <w:sz w:val="20"/>
                <w:szCs w:val="20"/>
              </w:rPr>
              <w:t>p</w:t>
            </w:r>
            <w:r w:rsidRPr="00F4489A">
              <w:rPr>
                <w:rFonts w:ascii="Arial" w:hAnsi="Arial" w:cs="Arial"/>
                <w:sz w:val="20"/>
                <w:szCs w:val="20"/>
              </w:rPr>
              <w:t>ertise to inform pricing, underwriting, product development, and member strategy.</w:t>
            </w:r>
          </w:p>
          <w:p w14:paraId="278C2E68" w14:textId="77777777"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portfolio monitoring to identify performance trends, pricing adequacy, and opportunities for optimisation.</w:t>
            </w:r>
          </w:p>
          <w:p w14:paraId="47DD1177" w14:textId="77777777"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the development, maintenance, and continuous improvement of pricing models, data science solutions, and pricing systems (including pricing emulators).</w:t>
            </w:r>
          </w:p>
          <w:p w14:paraId="06F3D93A" w14:textId="77777777"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the timely and accurate delivery of monthly renewal monitoring outputs, providing clear insight into performance versus plan across key KPIs including income, price increase per member, retention, and business mix.</w:t>
            </w:r>
          </w:p>
          <w:p w14:paraId="53E13520" w14:textId="77777777"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the development, integrity, and ongoing effectiveness of pricing insight and adjustment tools used by operational teams and underwriters.</w:t>
            </w:r>
          </w:p>
          <w:p w14:paraId="01BFE92A" w14:textId="77777777" w:rsidR="00F94D53" w:rsidRPr="00F4489A"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lastRenderedPageBreak/>
              <w:t>Accountable for providing robust, data-led pricing insight that supports delegated authority decisions and underwriting pricing adjustments, in line with agreed frameworks and risk appetite.</w:t>
            </w:r>
          </w:p>
          <w:p w14:paraId="3A60B03F" w14:textId="77777777" w:rsidR="00F94D53" w:rsidRDefault="00F94D53" w:rsidP="00515082">
            <w:pPr>
              <w:numPr>
                <w:ilvl w:val="0"/>
                <w:numId w:val="3"/>
              </w:numPr>
              <w:spacing w:line="278" w:lineRule="auto"/>
              <w:rPr>
                <w:rFonts w:ascii="Arial" w:hAnsi="Arial" w:cs="Arial"/>
                <w:sz w:val="20"/>
                <w:szCs w:val="20"/>
              </w:rPr>
            </w:pPr>
            <w:r w:rsidRPr="00F4489A">
              <w:rPr>
                <w:rFonts w:ascii="Arial" w:hAnsi="Arial" w:cs="Arial"/>
                <w:sz w:val="20"/>
                <w:szCs w:val="20"/>
              </w:rPr>
              <w:t>Accountable for maintaining strong working relationships with Underwriting, Commercial, and Finance teams to ensure pricing decisions are well-informed, consistent, and aligned to business objectives.</w:t>
            </w:r>
          </w:p>
          <w:p w14:paraId="539F01C7" w14:textId="77777777" w:rsidR="00515082" w:rsidRPr="002C7592" w:rsidRDefault="00515082" w:rsidP="00515082">
            <w:pPr>
              <w:numPr>
                <w:ilvl w:val="0"/>
                <w:numId w:val="3"/>
              </w:numPr>
              <w:spacing w:line="278" w:lineRule="auto"/>
              <w:rPr>
                <w:rFonts w:ascii="Arial" w:hAnsi="Arial" w:cs="Arial"/>
                <w:sz w:val="20"/>
                <w:szCs w:val="20"/>
              </w:rPr>
            </w:pPr>
            <w:r w:rsidRPr="002C7592">
              <w:rPr>
                <w:rFonts w:ascii="Arial" w:hAnsi="Arial" w:cs="Arial"/>
                <w:sz w:val="20"/>
                <w:szCs w:val="20"/>
              </w:rPr>
              <w:t>Contribute to delivery of transformational pricing and analytics initiatives aligned to enterprise programmes (e.g. Project 2, TMO).</w:t>
            </w:r>
          </w:p>
          <w:p w14:paraId="16140F0E" w14:textId="77777777" w:rsidR="00515082" w:rsidRPr="002C7592" w:rsidRDefault="00515082" w:rsidP="00515082">
            <w:pPr>
              <w:numPr>
                <w:ilvl w:val="0"/>
                <w:numId w:val="3"/>
              </w:numPr>
              <w:spacing w:line="278" w:lineRule="auto"/>
              <w:rPr>
                <w:rFonts w:ascii="Arial" w:hAnsi="Arial" w:cs="Arial"/>
                <w:sz w:val="20"/>
                <w:szCs w:val="20"/>
              </w:rPr>
            </w:pPr>
            <w:r w:rsidRPr="002C7592">
              <w:rPr>
                <w:rFonts w:ascii="Arial" w:hAnsi="Arial" w:cs="Arial"/>
                <w:sz w:val="20"/>
                <w:szCs w:val="20"/>
              </w:rPr>
              <w:t>Support development and implementation of future-state pricing frameworks and systems.</w:t>
            </w:r>
          </w:p>
          <w:p w14:paraId="1A9244CF" w14:textId="77777777" w:rsidR="00515082" w:rsidRPr="002C7592" w:rsidRDefault="00515082" w:rsidP="00515082">
            <w:pPr>
              <w:numPr>
                <w:ilvl w:val="0"/>
                <w:numId w:val="3"/>
              </w:numPr>
              <w:spacing w:line="278" w:lineRule="auto"/>
              <w:rPr>
                <w:rFonts w:ascii="Arial" w:hAnsi="Arial" w:cs="Arial"/>
                <w:sz w:val="20"/>
                <w:szCs w:val="20"/>
              </w:rPr>
            </w:pPr>
            <w:r w:rsidRPr="002C7592">
              <w:rPr>
                <w:rFonts w:ascii="Arial" w:hAnsi="Arial" w:cs="Arial"/>
                <w:sz w:val="20"/>
                <w:szCs w:val="20"/>
              </w:rPr>
              <w:t>Support embedding of predictive analytics and automation into pricing processes.</w:t>
            </w:r>
          </w:p>
          <w:p w14:paraId="0D175831" w14:textId="78667FEE" w:rsidR="00515082" w:rsidRPr="002C7592" w:rsidRDefault="00515082" w:rsidP="00515082">
            <w:pPr>
              <w:numPr>
                <w:ilvl w:val="0"/>
                <w:numId w:val="3"/>
              </w:numPr>
              <w:spacing w:line="278" w:lineRule="auto"/>
              <w:rPr>
                <w:rFonts w:ascii="Arial" w:hAnsi="Arial" w:cs="Arial"/>
                <w:sz w:val="20"/>
                <w:szCs w:val="20"/>
              </w:rPr>
            </w:pPr>
            <w:r w:rsidRPr="002C7592">
              <w:rPr>
                <w:rFonts w:ascii="Arial" w:hAnsi="Arial" w:cs="Arial"/>
                <w:sz w:val="20"/>
                <w:szCs w:val="20"/>
              </w:rPr>
              <w:t>Develop and maintain predictive pricing models (e.g. GLM and advanced analytics) under guidance from senior team members.</w:t>
            </w:r>
          </w:p>
          <w:p w14:paraId="223D36A5" w14:textId="582D9091" w:rsidR="004020D9" w:rsidRPr="00F4489A" w:rsidRDefault="004020D9" w:rsidP="004020D9">
            <w:pPr>
              <w:rPr>
                <w:rFonts w:ascii="Arial" w:hAnsi="Arial" w:cs="Arial"/>
                <w:b/>
                <w:bCs/>
                <w:sz w:val="20"/>
                <w:szCs w:val="20"/>
              </w:rPr>
            </w:pPr>
          </w:p>
        </w:tc>
        <w:tc>
          <w:tcPr>
            <w:tcW w:w="3827" w:type="dxa"/>
          </w:tcPr>
          <w:p w14:paraId="5CF566BE" w14:textId="77777777" w:rsidR="001127BD" w:rsidRPr="00F4489A" w:rsidRDefault="001127BD" w:rsidP="001732C6">
            <w:pPr>
              <w:numPr>
                <w:ilvl w:val="0"/>
                <w:numId w:val="4"/>
              </w:numPr>
              <w:spacing w:line="278" w:lineRule="auto"/>
              <w:rPr>
                <w:rFonts w:ascii="Arial" w:hAnsi="Arial" w:cs="Arial"/>
                <w:sz w:val="20"/>
                <w:szCs w:val="20"/>
              </w:rPr>
            </w:pPr>
            <w:r w:rsidRPr="00F4489A">
              <w:rPr>
                <w:rFonts w:ascii="Arial" w:hAnsi="Arial" w:cs="Arial"/>
                <w:sz w:val="20"/>
                <w:szCs w:val="20"/>
              </w:rPr>
              <w:lastRenderedPageBreak/>
              <w:t>Delivery of strategic priorities and divisional plan vs plan</w:t>
            </w:r>
          </w:p>
          <w:p w14:paraId="4D7380EE" w14:textId="77777777" w:rsidR="001127BD" w:rsidRPr="00F4489A" w:rsidRDefault="001127BD" w:rsidP="001732C6">
            <w:pPr>
              <w:numPr>
                <w:ilvl w:val="0"/>
                <w:numId w:val="4"/>
              </w:numPr>
              <w:spacing w:line="278" w:lineRule="auto"/>
              <w:rPr>
                <w:rFonts w:ascii="Arial" w:hAnsi="Arial" w:cs="Arial"/>
                <w:sz w:val="20"/>
                <w:szCs w:val="20"/>
              </w:rPr>
            </w:pPr>
            <w:r w:rsidRPr="00F4489A">
              <w:rPr>
                <w:rFonts w:ascii="Arial" w:hAnsi="Arial" w:cs="Arial"/>
                <w:sz w:val="20"/>
                <w:szCs w:val="20"/>
              </w:rPr>
              <w:t>Timely and accurate delivery of pricing and analytical projects</w:t>
            </w:r>
          </w:p>
          <w:p w14:paraId="6326189B" w14:textId="77777777" w:rsidR="001127BD" w:rsidRPr="00F4489A" w:rsidRDefault="001127BD" w:rsidP="001732C6">
            <w:pPr>
              <w:numPr>
                <w:ilvl w:val="0"/>
                <w:numId w:val="4"/>
              </w:numPr>
              <w:spacing w:line="278" w:lineRule="auto"/>
              <w:rPr>
                <w:rFonts w:ascii="Arial" w:hAnsi="Arial" w:cs="Arial"/>
                <w:sz w:val="20"/>
                <w:szCs w:val="20"/>
              </w:rPr>
            </w:pPr>
            <w:r w:rsidRPr="00F4489A">
              <w:rPr>
                <w:rFonts w:ascii="Arial" w:hAnsi="Arial" w:cs="Arial"/>
                <w:sz w:val="20"/>
                <w:szCs w:val="20"/>
              </w:rPr>
              <w:t>Stakeholder feedback and governance sign-off</w:t>
            </w:r>
          </w:p>
          <w:p w14:paraId="216624BF" w14:textId="5E000DF9" w:rsidR="004020D9" w:rsidRPr="00F4489A" w:rsidRDefault="004020D9" w:rsidP="00625333">
            <w:pPr>
              <w:pStyle w:val="ListParagraph"/>
              <w:spacing w:before="100" w:beforeAutospacing="1" w:after="100" w:afterAutospacing="1"/>
              <w:ind w:left="360"/>
              <w:rPr>
                <w:rFonts w:ascii="Arial" w:hAnsi="Arial" w:cs="Arial"/>
                <w:sz w:val="20"/>
                <w:szCs w:val="20"/>
              </w:rPr>
            </w:pPr>
          </w:p>
        </w:tc>
      </w:tr>
      <w:tr w:rsidR="004020D9" w:rsidRPr="00F4489A" w14:paraId="5E7808C6" w14:textId="77777777" w:rsidTr="00682B78">
        <w:tc>
          <w:tcPr>
            <w:tcW w:w="5382" w:type="dxa"/>
          </w:tcPr>
          <w:p w14:paraId="4DD3B5CB" w14:textId="464C29A9" w:rsidR="006D5EDD" w:rsidRPr="00F4489A" w:rsidRDefault="006D5EDD" w:rsidP="006D5EDD">
            <w:pPr>
              <w:spacing w:line="278" w:lineRule="auto"/>
              <w:rPr>
                <w:rFonts w:ascii="Arial" w:hAnsi="Arial" w:cs="Arial"/>
                <w:b/>
                <w:bCs/>
                <w:sz w:val="20"/>
                <w:szCs w:val="20"/>
              </w:rPr>
            </w:pPr>
            <w:r w:rsidRPr="00F4489A">
              <w:rPr>
                <w:rFonts w:ascii="Arial" w:hAnsi="Arial" w:cs="Arial"/>
                <w:b/>
                <w:bCs/>
                <w:sz w:val="20"/>
                <w:szCs w:val="20"/>
              </w:rPr>
              <w:t xml:space="preserve">Financial </w:t>
            </w:r>
          </w:p>
          <w:p w14:paraId="20B9E409" w14:textId="11498DDB"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Develop, maintain, and apply robust technical pricing and data science models informed by market and competitive insight.</w:t>
            </w:r>
          </w:p>
          <w:p w14:paraId="166DDF53"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Lead or support subscription setting and pricing changes to ensure income targets, combined operating ratios, and pricing strength are achieved.</w:t>
            </w:r>
          </w:p>
          <w:p w14:paraId="101D3385"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Ensure pricing coefficients and models are correctly implemented, tested, and monitored within pricing systems.</w:t>
            </w:r>
          </w:p>
          <w:p w14:paraId="4B4E29EA"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Accountable for the accuracy, integrity, and appropriate use of data underpinning pricing analysis and modelling outputs.</w:t>
            </w:r>
          </w:p>
          <w:p w14:paraId="10AAE37B"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Accountable for the ongoing performance, robustness, and suitability of pricing and analytical models within agreed methodologies and standards.</w:t>
            </w:r>
          </w:p>
          <w:p w14:paraId="06E5A7A0"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Accountable for ensuring pricing tools and emulators correctly reflect approved pricing assumptions and coefficients.</w:t>
            </w:r>
          </w:p>
          <w:p w14:paraId="335C529C"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Accountable for monitoring pricing and model performance and escalating issues or risks in a timely manner.</w:t>
            </w:r>
          </w:p>
          <w:p w14:paraId="77D9E7F6" w14:textId="77777777" w:rsidR="00AA2B37" w:rsidRPr="00F4489A" w:rsidRDefault="00AA2B37" w:rsidP="001732C6">
            <w:pPr>
              <w:numPr>
                <w:ilvl w:val="0"/>
                <w:numId w:val="5"/>
              </w:numPr>
              <w:spacing w:line="278" w:lineRule="auto"/>
              <w:rPr>
                <w:rFonts w:ascii="Arial" w:hAnsi="Arial" w:cs="Arial"/>
                <w:sz w:val="20"/>
                <w:szCs w:val="20"/>
              </w:rPr>
            </w:pPr>
            <w:r w:rsidRPr="00F4489A">
              <w:rPr>
                <w:rFonts w:ascii="Arial" w:hAnsi="Arial" w:cs="Arial"/>
                <w:sz w:val="20"/>
                <w:szCs w:val="20"/>
              </w:rPr>
              <w:t>Accountable for contributing pricing analysis and recommendations that support achievement of financial plan targets, renewal strategies, and member retention objectives.</w:t>
            </w:r>
          </w:p>
          <w:p w14:paraId="1A2E51EF" w14:textId="5A4AF5AD" w:rsidR="00BE01EF" w:rsidRPr="00F4489A" w:rsidRDefault="00BE01EF" w:rsidP="004020D9">
            <w:pPr>
              <w:rPr>
                <w:rFonts w:ascii="Arial" w:hAnsi="Arial" w:cs="Arial"/>
                <w:b/>
                <w:bCs/>
                <w:sz w:val="20"/>
                <w:szCs w:val="20"/>
              </w:rPr>
            </w:pPr>
          </w:p>
        </w:tc>
        <w:tc>
          <w:tcPr>
            <w:tcW w:w="3827" w:type="dxa"/>
          </w:tcPr>
          <w:p w14:paraId="7E2051EB" w14:textId="77777777" w:rsidR="0011433B" w:rsidRPr="00F4489A" w:rsidRDefault="0011433B" w:rsidP="001732C6">
            <w:pPr>
              <w:numPr>
                <w:ilvl w:val="0"/>
                <w:numId w:val="2"/>
              </w:numPr>
              <w:spacing w:line="278" w:lineRule="auto"/>
              <w:rPr>
                <w:rFonts w:ascii="Arial" w:hAnsi="Arial" w:cs="Arial"/>
                <w:sz w:val="20"/>
                <w:szCs w:val="20"/>
              </w:rPr>
            </w:pPr>
            <w:r w:rsidRPr="00F4489A">
              <w:rPr>
                <w:rFonts w:ascii="Arial" w:hAnsi="Arial" w:cs="Arial"/>
                <w:sz w:val="20"/>
                <w:szCs w:val="20"/>
              </w:rPr>
              <w:t>Member numbers and income vs plan</w:t>
            </w:r>
          </w:p>
          <w:p w14:paraId="38F39E81" w14:textId="77777777" w:rsidR="0011433B" w:rsidRPr="00F4489A" w:rsidRDefault="0011433B" w:rsidP="001732C6">
            <w:pPr>
              <w:numPr>
                <w:ilvl w:val="0"/>
                <w:numId w:val="2"/>
              </w:numPr>
              <w:spacing w:line="278" w:lineRule="auto"/>
              <w:rPr>
                <w:rFonts w:ascii="Arial" w:hAnsi="Arial" w:cs="Arial"/>
                <w:sz w:val="20"/>
                <w:szCs w:val="20"/>
              </w:rPr>
            </w:pPr>
            <w:r w:rsidRPr="00F4489A">
              <w:rPr>
                <w:rFonts w:ascii="Arial" w:hAnsi="Arial" w:cs="Arial"/>
                <w:sz w:val="20"/>
                <w:szCs w:val="20"/>
              </w:rPr>
              <w:t>Loss ratios and combined operating ratios</w:t>
            </w:r>
          </w:p>
          <w:p w14:paraId="751497B2" w14:textId="77777777" w:rsidR="0011433B" w:rsidRPr="00F4489A" w:rsidRDefault="0011433B" w:rsidP="001732C6">
            <w:pPr>
              <w:numPr>
                <w:ilvl w:val="0"/>
                <w:numId w:val="2"/>
              </w:numPr>
              <w:spacing w:line="278" w:lineRule="auto"/>
              <w:rPr>
                <w:rFonts w:ascii="Arial" w:hAnsi="Arial" w:cs="Arial"/>
                <w:sz w:val="20"/>
                <w:szCs w:val="20"/>
              </w:rPr>
            </w:pPr>
            <w:r w:rsidRPr="00F4489A">
              <w:rPr>
                <w:rFonts w:ascii="Arial" w:hAnsi="Arial" w:cs="Arial"/>
                <w:sz w:val="20"/>
                <w:szCs w:val="20"/>
              </w:rPr>
              <w:t>Pricing strength and profitability metrics</w:t>
            </w:r>
          </w:p>
          <w:p w14:paraId="7E09F139" w14:textId="05202993" w:rsidR="004020D9" w:rsidRPr="00F4489A" w:rsidRDefault="004020D9" w:rsidP="0011433B">
            <w:pPr>
              <w:spacing w:line="278" w:lineRule="auto"/>
              <w:ind w:left="360"/>
              <w:rPr>
                <w:rFonts w:ascii="Arial" w:hAnsi="Arial" w:cs="Arial"/>
                <w:sz w:val="20"/>
                <w:szCs w:val="20"/>
              </w:rPr>
            </w:pPr>
          </w:p>
        </w:tc>
      </w:tr>
      <w:tr w:rsidR="004020D9" w:rsidRPr="00F4489A" w14:paraId="764DDC14" w14:textId="77777777" w:rsidTr="00682B78">
        <w:tc>
          <w:tcPr>
            <w:tcW w:w="5382" w:type="dxa"/>
          </w:tcPr>
          <w:p w14:paraId="784792C8" w14:textId="77777777" w:rsidR="004020D9" w:rsidRPr="00F4489A" w:rsidRDefault="00BE01EF" w:rsidP="004020D9">
            <w:pPr>
              <w:rPr>
                <w:rFonts w:ascii="Arial" w:hAnsi="Arial" w:cs="Arial"/>
                <w:b/>
                <w:bCs/>
                <w:sz w:val="20"/>
                <w:szCs w:val="20"/>
              </w:rPr>
            </w:pPr>
            <w:r w:rsidRPr="00F4489A">
              <w:rPr>
                <w:rFonts w:ascii="Arial" w:hAnsi="Arial" w:cs="Arial"/>
                <w:b/>
                <w:bCs/>
                <w:sz w:val="20"/>
                <w:szCs w:val="20"/>
              </w:rPr>
              <w:t>Member</w:t>
            </w:r>
          </w:p>
          <w:p w14:paraId="6115AA3F" w14:textId="77777777" w:rsidR="00495C33" w:rsidRPr="00F4489A" w:rsidRDefault="00495C33" w:rsidP="001732C6">
            <w:pPr>
              <w:numPr>
                <w:ilvl w:val="0"/>
                <w:numId w:val="6"/>
              </w:numPr>
              <w:spacing w:line="278" w:lineRule="auto"/>
              <w:rPr>
                <w:rFonts w:ascii="Arial" w:hAnsi="Arial" w:cs="Arial"/>
                <w:sz w:val="20"/>
                <w:szCs w:val="20"/>
              </w:rPr>
            </w:pPr>
            <w:r w:rsidRPr="00F4489A">
              <w:rPr>
                <w:rFonts w:ascii="Arial" w:hAnsi="Arial" w:cs="Arial"/>
                <w:sz w:val="20"/>
                <w:szCs w:val="20"/>
              </w:rPr>
              <w:lastRenderedPageBreak/>
              <w:t>Ensure pricing decisions and models support fair, accurate, and sustainable pricing for members.</w:t>
            </w:r>
          </w:p>
          <w:p w14:paraId="17312169" w14:textId="77777777" w:rsidR="00495C33" w:rsidRPr="00F4489A" w:rsidRDefault="00495C33" w:rsidP="001732C6">
            <w:pPr>
              <w:numPr>
                <w:ilvl w:val="0"/>
                <w:numId w:val="6"/>
              </w:numPr>
              <w:spacing w:line="278" w:lineRule="auto"/>
              <w:rPr>
                <w:rFonts w:ascii="Arial" w:hAnsi="Arial" w:cs="Arial"/>
                <w:sz w:val="20"/>
                <w:szCs w:val="20"/>
              </w:rPr>
            </w:pPr>
            <w:r w:rsidRPr="00F4489A">
              <w:rPr>
                <w:rFonts w:ascii="Arial" w:hAnsi="Arial" w:cs="Arial"/>
                <w:sz w:val="20"/>
                <w:szCs w:val="20"/>
              </w:rPr>
              <w:t>Understand and communicate the impact of pricing and modelling decisions on member experience and retention.</w:t>
            </w:r>
          </w:p>
          <w:p w14:paraId="52DB698C" w14:textId="77777777" w:rsidR="00495C33" w:rsidRPr="00F4489A" w:rsidRDefault="00495C33" w:rsidP="001732C6">
            <w:pPr>
              <w:numPr>
                <w:ilvl w:val="0"/>
                <w:numId w:val="6"/>
              </w:numPr>
              <w:spacing w:line="278" w:lineRule="auto"/>
              <w:rPr>
                <w:rFonts w:ascii="Arial" w:hAnsi="Arial" w:cs="Arial"/>
                <w:sz w:val="20"/>
                <w:szCs w:val="20"/>
              </w:rPr>
            </w:pPr>
            <w:r w:rsidRPr="00F4489A">
              <w:rPr>
                <w:rFonts w:ascii="Arial" w:hAnsi="Arial" w:cs="Arial"/>
                <w:sz w:val="20"/>
                <w:szCs w:val="20"/>
              </w:rPr>
              <w:t>Support continuous improvement initiatives to enhance member outcomes and operational efficiency.</w:t>
            </w:r>
          </w:p>
          <w:p w14:paraId="3DF57184" w14:textId="4C8D6494" w:rsidR="00BE01EF" w:rsidRPr="00F4489A" w:rsidRDefault="00BE01EF" w:rsidP="004020D9">
            <w:pPr>
              <w:rPr>
                <w:rFonts w:ascii="Arial" w:hAnsi="Arial" w:cs="Arial"/>
                <w:b/>
                <w:bCs/>
                <w:sz w:val="20"/>
                <w:szCs w:val="20"/>
              </w:rPr>
            </w:pPr>
          </w:p>
        </w:tc>
        <w:tc>
          <w:tcPr>
            <w:tcW w:w="3827" w:type="dxa"/>
          </w:tcPr>
          <w:p w14:paraId="420ADDF0" w14:textId="77777777" w:rsidR="00935953" w:rsidRPr="00F4489A" w:rsidRDefault="00935953" w:rsidP="001732C6">
            <w:pPr>
              <w:numPr>
                <w:ilvl w:val="0"/>
                <w:numId w:val="7"/>
              </w:numPr>
              <w:spacing w:line="278" w:lineRule="auto"/>
              <w:rPr>
                <w:rFonts w:ascii="Arial" w:hAnsi="Arial" w:cs="Arial"/>
                <w:sz w:val="20"/>
                <w:szCs w:val="20"/>
              </w:rPr>
            </w:pPr>
            <w:r w:rsidRPr="00F4489A">
              <w:rPr>
                <w:rFonts w:ascii="Arial" w:hAnsi="Arial" w:cs="Arial"/>
                <w:sz w:val="20"/>
                <w:szCs w:val="20"/>
              </w:rPr>
              <w:lastRenderedPageBreak/>
              <w:t>Net Promoter Score</w:t>
            </w:r>
          </w:p>
          <w:p w14:paraId="35F11F1F" w14:textId="77777777" w:rsidR="00935953" w:rsidRPr="00F4489A" w:rsidRDefault="00935953" w:rsidP="001732C6">
            <w:pPr>
              <w:numPr>
                <w:ilvl w:val="0"/>
                <w:numId w:val="7"/>
              </w:numPr>
              <w:spacing w:line="278" w:lineRule="auto"/>
              <w:rPr>
                <w:rFonts w:ascii="Arial" w:hAnsi="Arial" w:cs="Arial"/>
                <w:sz w:val="20"/>
                <w:szCs w:val="20"/>
              </w:rPr>
            </w:pPr>
            <w:r w:rsidRPr="00F4489A">
              <w:rPr>
                <w:rFonts w:ascii="Arial" w:hAnsi="Arial" w:cs="Arial"/>
                <w:sz w:val="20"/>
                <w:szCs w:val="20"/>
              </w:rPr>
              <w:lastRenderedPageBreak/>
              <w:t>Member satisfaction measures</w:t>
            </w:r>
          </w:p>
          <w:p w14:paraId="0C10A9C7" w14:textId="61D4D211" w:rsidR="004020D9" w:rsidRPr="00F4489A" w:rsidRDefault="004020D9" w:rsidP="00625333">
            <w:pPr>
              <w:pStyle w:val="ListParagraph"/>
              <w:ind w:left="360"/>
              <w:rPr>
                <w:rFonts w:ascii="Arial" w:hAnsi="Arial" w:cs="Arial"/>
                <w:sz w:val="20"/>
                <w:szCs w:val="20"/>
              </w:rPr>
            </w:pPr>
          </w:p>
        </w:tc>
      </w:tr>
      <w:tr w:rsidR="004020D9" w:rsidRPr="00F4489A" w14:paraId="3B141173" w14:textId="77777777" w:rsidTr="00682B78">
        <w:tc>
          <w:tcPr>
            <w:tcW w:w="5382" w:type="dxa"/>
          </w:tcPr>
          <w:p w14:paraId="7A00A3ED" w14:textId="77777777" w:rsidR="004020D9" w:rsidRPr="00F4489A" w:rsidRDefault="00BE01EF" w:rsidP="004020D9">
            <w:pPr>
              <w:rPr>
                <w:rFonts w:ascii="Arial" w:hAnsi="Arial" w:cs="Arial"/>
                <w:b/>
                <w:bCs/>
                <w:sz w:val="20"/>
                <w:szCs w:val="20"/>
              </w:rPr>
            </w:pPr>
            <w:r w:rsidRPr="00F4489A">
              <w:rPr>
                <w:rFonts w:ascii="Arial" w:hAnsi="Arial" w:cs="Arial"/>
                <w:b/>
                <w:bCs/>
                <w:sz w:val="20"/>
                <w:szCs w:val="20"/>
              </w:rPr>
              <w:lastRenderedPageBreak/>
              <w:t>People</w:t>
            </w:r>
          </w:p>
          <w:p w14:paraId="7B87826A" w14:textId="77777777" w:rsidR="003B5E1F" w:rsidRPr="00F4489A" w:rsidRDefault="003B5E1F" w:rsidP="001732C6">
            <w:pPr>
              <w:numPr>
                <w:ilvl w:val="0"/>
                <w:numId w:val="8"/>
              </w:numPr>
              <w:spacing w:line="278" w:lineRule="auto"/>
              <w:rPr>
                <w:rFonts w:ascii="Arial" w:hAnsi="Arial" w:cs="Arial"/>
                <w:sz w:val="20"/>
                <w:szCs w:val="20"/>
              </w:rPr>
            </w:pPr>
            <w:r w:rsidRPr="00F4489A">
              <w:rPr>
                <w:rFonts w:ascii="Arial" w:hAnsi="Arial" w:cs="Arial"/>
                <w:sz w:val="20"/>
                <w:szCs w:val="20"/>
              </w:rPr>
              <w:t>Take accountability for own learning and development across pricing, analytics, and data science.</w:t>
            </w:r>
          </w:p>
          <w:p w14:paraId="18A30CD4" w14:textId="77777777" w:rsidR="003B5E1F" w:rsidRPr="00F4489A" w:rsidRDefault="003B5E1F" w:rsidP="001732C6">
            <w:pPr>
              <w:numPr>
                <w:ilvl w:val="0"/>
                <w:numId w:val="8"/>
              </w:numPr>
              <w:spacing w:line="278" w:lineRule="auto"/>
              <w:rPr>
                <w:rFonts w:ascii="Arial" w:hAnsi="Arial" w:cs="Arial"/>
                <w:sz w:val="20"/>
                <w:szCs w:val="20"/>
              </w:rPr>
            </w:pPr>
            <w:r w:rsidRPr="00F4489A">
              <w:rPr>
                <w:rFonts w:ascii="Arial" w:hAnsi="Arial" w:cs="Arial"/>
                <w:sz w:val="20"/>
                <w:szCs w:val="20"/>
              </w:rPr>
              <w:t>Share knowledge and capability across the wider Pricing &amp; Data Science team to reduce key-person risk.</w:t>
            </w:r>
          </w:p>
          <w:p w14:paraId="422FDF48" w14:textId="77777777" w:rsidR="003B5E1F" w:rsidRPr="00F4489A" w:rsidRDefault="003B5E1F" w:rsidP="001732C6">
            <w:pPr>
              <w:numPr>
                <w:ilvl w:val="0"/>
                <w:numId w:val="8"/>
              </w:numPr>
              <w:spacing w:line="278" w:lineRule="auto"/>
              <w:rPr>
                <w:rFonts w:ascii="Arial" w:hAnsi="Arial" w:cs="Arial"/>
                <w:sz w:val="20"/>
                <w:szCs w:val="20"/>
              </w:rPr>
            </w:pPr>
            <w:r w:rsidRPr="00F4489A">
              <w:rPr>
                <w:rFonts w:ascii="Arial" w:hAnsi="Arial" w:cs="Arial"/>
                <w:sz w:val="20"/>
                <w:szCs w:val="20"/>
              </w:rPr>
              <w:t>Act as a champion for data-driven decision-making across Commercial Services.</w:t>
            </w:r>
          </w:p>
          <w:p w14:paraId="2400F297" w14:textId="2CE436F9" w:rsidR="00BE01EF" w:rsidRPr="00F4489A" w:rsidRDefault="00BE01EF" w:rsidP="004020D9">
            <w:pPr>
              <w:rPr>
                <w:rFonts w:ascii="Arial" w:hAnsi="Arial" w:cs="Arial"/>
                <w:b/>
                <w:bCs/>
                <w:sz w:val="20"/>
                <w:szCs w:val="20"/>
              </w:rPr>
            </w:pPr>
          </w:p>
        </w:tc>
        <w:tc>
          <w:tcPr>
            <w:tcW w:w="3827" w:type="dxa"/>
          </w:tcPr>
          <w:p w14:paraId="7E3249A0" w14:textId="77777777" w:rsidR="001B21DD" w:rsidRPr="00F4489A" w:rsidRDefault="001B21DD" w:rsidP="001732C6">
            <w:pPr>
              <w:numPr>
                <w:ilvl w:val="0"/>
                <w:numId w:val="9"/>
              </w:numPr>
              <w:spacing w:line="278" w:lineRule="auto"/>
              <w:rPr>
                <w:rFonts w:ascii="Arial" w:hAnsi="Arial" w:cs="Arial"/>
                <w:sz w:val="20"/>
                <w:szCs w:val="20"/>
              </w:rPr>
            </w:pPr>
            <w:r w:rsidRPr="00F4489A">
              <w:rPr>
                <w:rFonts w:ascii="Arial" w:hAnsi="Arial" w:cs="Arial"/>
                <w:sz w:val="20"/>
                <w:szCs w:val="20"/>
              </w:rPr>
              <w:t>Delivery of personal development objectives</w:t>
            </w:r>
          </w:p>
          <w:p w14:paraId="6A3F6A0C" w14:textId="77777777" w:rsidR="001B21DD" w:rsidRPr="00F4489A" w:rsidRDefault="001B21DD" w:rsidP="001732C6">
            <w:pPr>
              <w:numPr>
                <w:ilvl w:val="0"/>
                <w:numId w:val="9"/>
              </w:numPr>
              <w:spacing w:line="278" w:lineRule="auto"/>
              <w:rPr>
                <w:rFonts w:ascii="Arial" w:hAnsi="Arial" w:cs="Arial"/>
                <w:sz w:val="20"/>
                <w:szCs w:val="20"/>
              </w:rPr>
            </w:pPr>
            <w:r w:rsidRPr="00F4489A">
              <w:rPr>
                <w:rFonts w:ascii="Arial" w:hAnsi="Arial" w:cs="Arial"/>
                <w:sz w:val="20"/>
                <w:szCs w:val="20"/>
              </w:rPr>
              <w:t>Evidence of knowledge sharing and capability building</w:t>
            </w:r>
          </w:p>
          <w:p w14:paraId="1DD42FFE" w14:textId="77777777" w:rsidR="001B21DD" w:rsidRPr="00F4489A" w:rsidRDefault="001B21DD" w:rsidP="001732C6">
            <w:pPr>
              <w:numPr>
                <w:ilvl w:val="0"/>
                <w:numId w:val="9"/>
              </w:numPr>
              <w:spacing w:line="278" w:lineRule="auto"/>
              <w:rPr>
                <w:rFonts w:ascii="Arial" w:hAnsi="Arial" w:cs="Arial"/>
                <w:sz w:val="20"/>
                <w:szCs w:val="20"/>
              </w:rPr>
            </w:pPr>
            <w:r w:rsidRPr="00F4489A">
              <w:rPr>
                <w:rFonts w:ascii="Arial" w:hAnsi="Arial" w:cs="Arial"/>
                <w:sz w:val="20"/>
                <w:szCs w:val="20"/>
              </w:rPr>
              <w:t>Stakeholder and peer feedback</w:t>
            </w:r>
          </w:p>
          <w:p w14:paraId="53674021" w14:textId="0AFDAC93" w:rsidR="003A500C" w:rsidRPr="00F4489A" w:rsidRDefault="003A500C" w:rsidP="00982113">
            <w:pPr>
              <w:pStyle w:val="ListParagraph"/>
              <w:spacing w:before="100" w:beforeAutospacing="1" w:after="100" w:afterAutospacing="1"/>
              <w:ind w:left="360"/>
              <w:rPr>
                <w:rFonts w:ascii="Arial" w:hAnsi="Arial" w:cs="Arial"/>
                <w:sz w:val="20"/>
                <w:szCs w:val="20"/>
              </w:rPr>
            </w:pPr>
          </w:p>
        </w:tc>
      </w:tr>
      <w:tr w:rsidR="004020D9" w:rsidRPr="00F4489A" w14:paraId="4DE695F3" w14:textId="77777777" w:rsidTr="00682B78">
        <w:tc>
          <w:tcPr>
            <w:tcW w:w="5382" w:type="dxa"/>
          </w:tcPr>
          <w:p w14:paraId="637AB019" w14:textId="70E43FD0" w:rsidR="004020D9" w:rsidRPr="00F4489A" w:rsidRDefault="00BE01EF" w:rsidP="004020D9">
            <w:pPr>
              <w:rPr>
                <w:rFonts w:ascii="Arial" w:hAnsi="Arial" w:cs="Arial"/>
                <w:b/>
                <w:bCs/>
                <w:sz w:val="20"/>
                <w:szCs w:val="20"/>
              </w:rPr>
            </w:pPr>
            <w:r w:rsidRPr="00F4489A">
              <w:rPr>
                <w:rFonts w:ascii="Arial" w:hAnsi="Arial" w:cs="Arial"/>
                <w:b/>
                <w:bCs/>
                <w:sz w:val="20"/>
                <w:szCs w:val="20"/>
              </w:rPr>
              <w:t>Risk</w:t>
            </w:r>
          </w:p>
          <w:p w14:paraId="6890CA45" w14:textId="77777777" w:rsidR="006D5EDD" w:rsidRPr="00F4489A" w:rsidRDefault="006D5EDD" w:rsidP="001732C6">
            <w:pPr>
              <w:numPr>
                <w:ilvl w:val="0"/>
                <w:numId w:val="1"/>
              </w:numPr>
              <w:spacing w:line="278" w:lineRule="auto"/>
              <w:rPr>
                <w:rFonts w:ascii="Arial" w:hAnsi="Arial" w:cs="Arial"/>
                <w:sz w:val="20"/>
                <w:szCs w:val="20"/>
              </w:rPr>
            </w:pPr>
            <w:r w:rsidRPr="00F4489A">
              <w:rPr>
                <w:rFonts w:ascii="Arial" w:hAnsi="Arial" w:cs="Arial"/>
                <w:sz w:val="20"/>
                <w:szCs w:val="20"/>
              </w:rPr>
              <w:t>Ensure all pricing, modelling, and system changes comply with MPS Pricing Policy, methodology, governance frameworks, and regulatory requirements.</w:t>
            </w:r>
          </w:p>
          <w:p w14:paraId="15AC9C59" w14:textId="77777777" w:rsidR="006D5EDD" w:rsidRPr="00F4489A" w:rsidRDefault="006D5EDD" w:rsidP="001732C6">
            <w:pPr>
              <w:numPr>
                <w:ilvl w:val="0"/>
                <w:numId w:val="1"/>
              </w:numPr>
              <w:spacing w:line="278" w:lineRule="auto"/>
              <w:rPr>
                <w:rFonts w:ascii="Arial" w:hAnsi="Arial" w:cs="Arial"/>
                <w:sz w:val="20"/>
                <w:szCs w:val="20"/>
              </w:rPr>
            </w:pPr>
            <w:r w:rsidRPr="00F4489A">
              <w:rPr>
                <w:rFonts w:ascii="Arial" w:hAnsi="Arial" w:cs="Arial"/>
                <w:sz w:val="20"/>
                <w:szCs w:val="20"/>
              </w:rPr>
              <w:t>Ensure analytics and pricing decisions reflect the risks inherent in clinical negligence and indemnity business, including long-tail exposures.</w:t>
            </w:r>
          </w:p>
          <w:p w14:paraId="19F6CFA9" w14:textId="77777777" w:rsidR="006D5EDD" w:rsidRPr="00F4489A" w:rsidRDefault="006D5EDD" w:rsidP="001732C6">
            <w:pPr>
              <w:numPr>
                <w:ilvl w:val="0"/>
                <w:numId w:val="1"/>
              </w:numPr>
              <w:spacing w:line="278" w:lineRule="auto"/>
              <w:rPr>
                <w:rFonts w:ascii="Arial" w:hAnsi="Arial" w:cs="Arial"/>
                <w:sz w:val="20"/>
                <w:szCs w:val="20"/>
              </w:rPr>
            </w:pPr>
            <w:r w:rsidRPr="00F4489A">
              <w:rPr>
                <w:rFonts w:ascii="Arial" w:hAnsi="Arial" w:cs="Arial"/>
                <w:sz w:val="20"/>
                <w:szCs w:val="20"/>
              </w:rPr>
              <w:t>Support audit, risk and control self-assessments, and governance forums as required.</w:t>
            </w:r>
          </w:p>
          <w:p w14:paraId="2C894B41" w14:textId="77777777" w:rsidR="006D5EDD" w:rsidRPr="00F4489A" w:rsidRDefault="006D5EDD" w:rsidP="001732C6">
            <w:pPr>
              <w:numPr>
                <w:ilvl w:val="0"/>
                <w:numId w:val="1"/>
              </w:numPr>
              <w:spacing w:line="278" w:lineRule="auto"/>
              <w:rPr>
                <w:rFonts w:ascii="Arial" w:hAnsi="Arial" w:cs="Arial"/>
                <w:sz w:val="20"/>
                <w:szCs w:val="20"/>
              </w:rPr>
            </w:pPr>
            <w:r w:rsidRPr="00F4489A">
              <w:rPr>
                <w:rFonts w:ascii="Arial" w:hAnsi="Arial" w:cs="Arial"/>
                <w:sz w:val="20"/>
                <w:szCs w:val="20"/>
              </w:rPr>
              <w:t>Accountable for adhering to model governance, documentation, version control, and data quality standards.</w:t>
            </w:r>
          </w:p>
          <w:p w14:paraId="0BEE2BFE" w14:textId="738DEEDC" w:rsidR="00BE01EF" w:rsidRPr="00F4489A" w:rsidRDefault="006D5EDD" w:rsidP="001732C6">
            <w:pPr>
              <w:numPr>
                <w:ilvl w:val="0"/>
                <w:numId w:val="1"/>
              </w:numPr>
              <w:spacing w:line="278" w:lineRule="auto"/>
              <w:rPr>
                <w:rFonts w:ascii="Arial" w:hAnsi="Arial" w:cs="Arial"/>
                <w:sz w:val="20"/>
                <w:szCs w:val="20"/>
              </w:rPr>
            </w:pPr>
            <w:r w:rsidRPr="00F4489A">
              <w:rPr>
                <w:rFonts w:ascii="Arial" w:hAnsi="Arial" w:cs="Arial"/>
                <w:sz w:val="20"/>
                <w:szCs w:val="20"/>
              </w:rPr>
              <w:t xml:space="preserve">Accountable for providing clear, accurate, and well-supported pricing insights and recommendations to stakeholders and governance forums. </w:t>
            </w:r>
          </w:p>
        </w:tc>
        <w:tc>
          <w:tcPr>
            <w:tcW w:w="3827" w:type="dxa"/>
          </w:tcPr>
          <w:p w14:paraId="460ACCB2" w14:textId="77777777" w:rsidR="00F4489A" w:rsidRPr="00F4489A" w:rsidRDefault="00F4489A" w:rsidP="001732C6">
            <w:pPr>
              <w:numPr>
                <w:ilvl w:val="0"/>
                <w:numId w:val="1"/>
              </w:numPr>
              <w:spacing w:line="278" w:lineRule="auto"/>
              <w:rPr>
                <w:rFonts w:ascii="Arial" w:hAnsi="Arial" w:cs="Arial"/>
                <w:sz w:val="20"/>
                <w:szCs w:val="20"/>
              </w:rPr>
            </w:pPr>
            <w:r w:rsidRPr="00F4489A">
              <w:rPr>
                <w:rFonts w:ascii="Arial" w:hAnsi="Arial" w:cs="Arial"/>
                <w:sz w:val="20"/>
                <w:szCs w:val="20"/>
              </w:rPr>
              <w:t>Audit and Risk and Control Self-Assessment (RCSA) outcomes</w:t>
            </w:r>
          </w:p>
          <w:p w14:paraId="275B9ED5" w14:textId="77777777" w:rsidR="00F4489A" w:rsidRPr="00F4489A" w:rsidRDefault="00F4489A" w:rsidP="001732C6">
            <w:pPr>
              <w:numPr>
                <w:ilvl w:val="0"/>
                <w:numId w:val="1"/>
              </w:numPr>
              <w:spacing w:line="278" w:lineRule="auto"/>
              <w:rPr>
                <w:rFonts w:ascii="Arial" w:hAnsi="Arial" w:cs="Arial"/>
                <w:sz w:val="20"/>
                <w:szCs w:val="20"/>
              </w:rPr>
            </w:pPr>
            <w:r w:rsidRPr="00F4489A">
              <w:rPr>
                <w:rFonts w:ascii="Arial" w:hAnsi="Arial" w:cs="Arial"/>
                <w:sz w:val="20"/>
                <w:szCs w:val="20"/>
              </w:rPr>
              <w:t>Compliance with governance and change controls</w:t>
            </w:r>
          </w:p>
          <w:p w14:paraId="4B1A6020" w14:textId="6222D8D3" w:rsidR="004020D9" w:rsidRPr="00F4489A" w:rsidRDefault="004020D9" w:rsidP="00982113">
            <w:pPr>
              <w:pStyle w:val="ListParagraph"/>
              <w:ind w:left="360"/>
              <w:rPr>
                <w:rFonts w:ascii="Arial" w:hAnsi="Arial" w:cs="Arial"/>
                <w:sz w:val="20"/>
                <w:szCs w:val="20"/>
              </w:rPr>
            </w:pPr>
          </w:p>
        </w:tc>
      </w:tr>
    </w:tbl>
    <w:p w14:paraId="35FC2375" w14:textId="0378DDBC" w:rsidR="00682B78" w:rsidRPr="00F4489A"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F4489A" w14:paraId="7E7F0ADF" w14:textId="77777777" w:rsidTr="00BE01EF">
        <w:tc>
          <w:tcPr>
            <w:tcW w:w="9016" w:type="dxa"/>
          </w:tcPr>
          <w:p w14:paraId="4A501D40" w14:textId="668BC222" w:rsidR="00BE01EF" w:rsidRPr="00F4489A" w:rsidRDefault="00BE01EF">
            <w:pPr>
              <w:rPr>
                <w:rFonts w:ascii="Arial" w:hAnsi="Arial" w:cs="Arial"/>
                <w:b/>
                <w:bCs/>
                <w:sz w:val="20"/>
                <w:szCs w:val="20"/>
              </w:rPr>
            </w:pPr>
            <w:r w:rsidRPr="00F4489A">
              <w:rPr>
                <w:rFonts w:ascii="Arial" w:hAnsi="Arial" w:cs="Arial"/>
                <w:b/>
                <w:bCs/>
                <w:sz w:val="20"/>
                <w:szCs w:val="20"/>
              </w:rPr>
              <w:t>Responsibilities (</w:t>
            </w:r>
            <w:r w:rsidRPr="00F4489A">
              <w:rPr>
                <w:rFonts w:ascii="Arial" w:hAnsi="Arial" w:cs="Arial"/>
                <w:b/>
                <w:bCs/>
                <w:sz w:val="20"/>
                <w:szCs w:val="20"/>
                <w:u w:val="single"/>
              </w:rPr>
              <w:t>R</w:t>
            </w:r>
            <w:r w:rsidRPr="00F4489A">
              <w:rPr>
                <w:rFonts w:ascii="Arial" w:hAnsi="Arial" w:cs="Arial"/>
                <w:b/>
                <w:bCs/>
                <w:sz w:val="20"/>
                <w:szCs w:val="20"/>
              </w:rPr>
              <w:t>ACI)</w:t>
            </w:r>
          </w:p>
        </w:tc>
      </w:tr>
      <w:tr w:rsidR="00BE01EF" w:rsidRPr="00F4489A" w14:paraId="6DEF8B97" w14:textId="77777777" w:rsidTr="00BE01EF">
        <w:tc>
          <w:tcPr>
            <w:tcW w:w="9016" w:type="dxa"/>
          </w:tcPr>
          <w:p w14:paraId="78318A1A" w14:textId="2776DD6D" w:rsidR="001732C6" w:rsidRPr="002C7592" w:rsidRDefault="001732C6" w:rsidP="001732C6">
            <w:pPr>
              <w:numPr>
                <w:ilvl w:val="0"/>
                <w:numId w:val="10"/>
              </w:numPr>
              <w:spacing w:line="278" w:lineRule="auto"/>
              <w:rPr>
                <w:rFonts w:ascii="Arial" w:hAnsi="Arial" w:cs="Arial"/>
                <w:sz w:val="20"/>
                <w:szCs w:val="20"/>
              </w:rPr>
            </w:pPr>
            <w:r w:rsidRPr="002C7592">
              <w:rPr>
                <w:rFonts w:ascii="Arial" w:hAnsi="Arial" w:cs="Arial"/>
                <w:sz w:val="20"/>
                <w:szCs w:val="20"/>
              </w:rPr>
              <w:t>Support delivery of transformational initiatives in pricing strategy, analytics, and systems.</w:t>
            </w:r>
          </w:p>
          <w:p w14:paraId="6E9D27D2" w14:textId="76BE8588" w:rsidR="001732C6" w:rsidRPr="002C7592" w:rsidRDefault="001732C6" w:rsidP="001732C6">
            <w:pPr>
              <w:numPr>
                <w:ilvl w:val="0"/>
                <w:numId w:val="10"/>
              </w:numPr>
              <w:spacing w:line="278" w:lineRule="auto"/>
              <w:rPr>
                <w:rFonts w:ascii="Arial" w:hAnsi="Arial" w:cs="Arial"/>
                <w:sz w:val="20"/>
                <w:szCs w:val="20"/>
              </w:rPr>
            </w:pPr>
            <w:r w:rsidRPr="002C7592">
              <w:rPr>
                <w:rFonts w:ascii="Arial" w:hAnsi="Arial" w:cs="Arial"/>
                <w:sz w:val="20"/>
                <w:szCs w:val="20"/>
              </w:rPr>
              <w:t>Build, test, and maintain predictive pricing models using GLM and advanced analytics techniques.</w:t>
            </w:r>
          </w:p>
          <w:p w14:paraId="641E5793" w14:textId="59EE609F" w:rsidR="001732C6" w:rsidRPr="002C7592" w:rsidRDefault="001732C6" w:rsidP="001732C6">
            <w:pPr>
              <w:numPr>
                <w:ilvl w:val="0"/>
                <w:numId w:val="10"/>
              </w:numPr>
              <w:spacing w:line="278" w:lineRule="auto"/>
              <w:rPr>
                <w:rFonts w:ascii="Arial" w:hAnsi="Arial" w:cs="Arial"/>
                <w:sz w:val="20"/>
                <w:szCs w:val="20"/>
              </w:rPr>
            </w:pPr>
            <w:r w:rsidRPr="002C7592">
              <w:rPr>
                <w:rFonts w:ascii="Arial" w:hAnsi="Arial" w:cs="Arial"/>
                <w:sz w:val="20"/>
                <w:szCs w:val="20"/>
              </w:rPr>
              <w:t>Produce pricing analysis and insights to support operational pricing strategy delivery.</w:t>
            </w:r>
          </w:p>
          <w:p w14:paraId="2CC4AE8D" w14:textId="28D0B184" w:rsidR="001732C6" w:rsidRPr="002C7592" w:rsidRDefault="001732C6" w:rsidP="001732C6">
            <w:pPr>
              <w:numPr>
                <w:ilvl w:val="0"/>
                <w:numId w:val="10"/>
              </w:numPr>
              <w:spacing w:line="278" w:lineRule="auto"/>
              <w:rPr>
                <w:rFonts w:ascii="Arial" w:hAnsi="Arial" w:cs="Arial"/>
                <w:sz w:val="20"/>
                <w:szCs w:val="20"/>
              </w:rPr>
            </w:pPr>
            <w:r w:rsidRPr="002C7592">
              <w:rPr>
                <w:rFonts w:ascii="Arial" w:hAnsi="Arial" w:cs="Arial"/>
                <w:sz w:val="20"/>
                <w:szCs w:val="20"/>
              </w:rPr>
              <w:t>Extract, analyse, and interpret membership, claims, and financial data to inform pricing and modelling decisions.</w:t>
            </w:r>
          </w:p>
          <w:p w14:paraId="2577F494"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Extract, analyse, and interpret membership, claims, and financial data to support pricing analysis and modelling activities.</w:t>
            </w:r>
          </w:p>
          <w:p w14:paraId="05EE9175"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Develop, maintain, and update statistical, actuarial, and analytical models using appropriate techniques and methodologies.</w:t>
            </w:r>
          </w:p>
          <w:p w14:paraId="2C4EF81E"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Support technical and retail pricing activities, including subscription setting, pricing reviews, and responses to pricing-related queries.</w:t>
            </w:r>
          </w:p>
          <w:p w14:paraId="6C915CBB"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Build, enhance, and maintain pricing emulators and analytical tools to support the accurate application of pricing coefficients.</w:t>
            </w:r>
          </w:p>
          <w:p w14:paraId="1F9F56DD"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lastRenderedPageBreak/>
              <w:t xml:space="preserve">Collaborate with Data Curation, Digital, and Change teams to support the </w:t>
            </w:r>
            <w:proofErr w:type="spellStart"/>
            <w:r w:rsidRPr="00F4489A">
              <w:rPr>
                <w:rFonts w:ascii="Arial" w:hAnsi="Arial" w:cs="Arial"/>
                <w:sz w:val="20"/>
                <w:szCs w:val="20"/>
              </w:rPr>
              <w:t>productionisation</w:t>
            </w:r>
            <w:proofErr w:type="spellEnd"/>
            <w:r w:rsidRPr="00F4489A">
              <w:rPr>
                <w:rFonts w:ascii="Arial" w:hAnsi="Arial" w:cs="Arial"/>
                <w:sz w:val="20"/>
                <w:szCs w:val="20"/>
              </w:rPr>
              <w:t xml:space="preserve"> of models and the safe delivery of system changes.</w:t>
            </w:r>
          </w:p>
          <w:p w14:paraId="3ED42989"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Prepare analysis, insights, and recommendations for pricing and governance forums, including Pricing Committee where required.</w:t>
            </w:r>
          </w:p>
          <w:p w14:paraId="6C4A5105"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Monitor pricing and model outputs, identifying trends, risks, and opportunities for refinement.</w:t>
            </w:r>
          </w:p>
          <w:p w14:paraId="7A132E5D"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Produce and deliver monthly renewal monitoring reports in collaboration with Underwriting and Commercial teams, analysing variances to plan and clearly communicating key drivers and risks.</w:t>
            </w:r>
          </w:p>
          <w:p w14:paraId="4CE6A83C"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Develop, enhance, and maintain pricing insight tools to support operational decision-making, including tools relating to Market Pool Discounts and other price adjustments.</w:t>
            </w:r>
          </w:p>
          <w:p w14:paraId="47D0E8C7"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Work with underwriting peers to establish, monitor, and report on discount authorities, including actual usage versus planned assumptions, with findings reviewed through monthly segment governance forums.</w:t>
            </w:r>
          </w:p>
          <w:p w14:paraId="347EF21C"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Design and implement pricing adjustment tools for high-value and high-risk member segments, providing analytical guardrails and insight to inform underwriting pricing decisions.</w:t>
            </w:r>
          </w:p>
          <w:p w14:paraId="051AF185" w14:textId="77777777" w:rsidR="009D78E6" w:rsidRPr="00F4489A"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Support underwriting leadership in the development and ongoing management of risk-based pricing adjustment frameworks and delegated authorities.</w:t>
            </w:r>
          </w:p>
          <w:p w14:paraId="75B02A85" w14:textId="77777777" w:rsidR="009D78E6" w:rsidRDefault="009D78E6" w:rsidP="001732C6">
            <w:pPr>
              <w:numPr>
                <w:ilvl w:val="0"/>
                <w:numId w:val="10"/>
              </w:numPr>
              <w:spacing w:line="278" w:lineRule="auto"/>
              <w:rPr>
                <w:rFonts w:ascii="Arial" w:hAnsi="Arial" w:cs="Arial"/>
                <w:sz w:val="20"/>
                <w:szCs w:val="20"/>
              </w:rPr>
            </w:pPr>
            <w:r w:rsidRPr="00F4489A">
              <w:rPr>
                <w:rFonts w:ascii="Arial" w:hAnsi="Arial" w:cs="Arial"/>
                <w:sz w:val="20"/>
                <w:szCs w:val="20"/>
              </w:rPr>
              <w:t>Partner with Underwriting and Commercial teams through the financial planning and renewal strategy process, applying pricing elasticity models to inform segment-specific price changes and assess the impact on retention and income.</w:t>
            </w:r>
          </w:p>
          <w:p w14:paraId="2CC5D8EB" w14:textId="58770E98" w:rsidR="001732C6" w:rsidRPr="002C7592" w:rsidRDefault="001732C6" w:rsidP="001732C6">
            <w:pPr>
              <w:numPr>
                <w:ilvl w:val="0"/>
                <w:numId w:val="10"/>
              </w:numPr>
              <w:spacing w:line="278" w:lineRule="auto"/>
              <w:rPr>
                <w:rFonts w:ascii="Arial" w:hAnsi="Arial" w:cs="Arial"/>
                <w:sz w:val="20"/>
                <w:szCs w:val="20"/>
              </w:rPr>
            </w:pPr>
            <w:r w:rsidRPr="002C7592">
              <w:rPr>
                <w:rFonts w:ascii="Arial" w:hAnsi="Arial" w:cs="Arial"/>
                <w:sz w:val="20"/>
                <w:szCs w:val="20"/>
              </w:rPr>
              <w:t>Work with actuarial and other stakeholders on model validation, monitoring, and governance activities.</w:t>
            </w:r>
          </w:p>
          <w:p w14:paraId="025C1ACB" w14:textId="77777777" w:rsidR="009D78E6" w:rsidRPr="00F4489A" w:rsidRDefault="009D78E6" w:rsidP="001732C6">
            <w:pPr>
              <w:numPr>
                <w:ilvl w:val="0"/>
                <w:numId w:val="10"/>
              </w:numPr>
              <w:spacing w:line="278" w:lineRule="auto"/>
              <w:rPr>
                <w:rFonts w:ascii="Arial" w:hAnsi="Arial" w:cs="Arial"/>
                <w:sz w:val="20"/>
                <w:szCs w:val="20"/>
              </w:rPr>
            </w:pPr>
            <w:r w:rsidRPr="002C7592">
              <w:rPr>
                <w:rFonts w:ascii="Arial" w:hAnsi="Arial" w:cs="Arial"/>
                <w:sz w:val="20"/>
                <w:szCs w:val="20"/>
              </w:rPr>
              <w:t>Undertake other duties appropriate to</w:t>
            </w:r>
            <w:r w:rsidRPr="00F4489A">
              <w:rPr>
                <w:rFonts w:ascii="Arial" w:hAnsi="Arial" w:cs="Arial"/>
                <w:sz w:val="20"/>
                <w:szCs w:val="20"/>
              </w:rPr>
              <w:t xml:space="preserve"> the level of the role.</w:t>
            </w:r>
          </w:p>
          <w:p w14:paraId="6AD0F90E" w14:textId="140B2667" w:rsidR="00BE01EF" w:rsidRPr="00F4489A" w:rsidRDefault="00BE01EF">
            <w:pPr>
              <w:rPr>
                <w:rFonts w:ascii="Arial" w:hAnsi="Arial" w:cs="Arial"/>
                <w:sz w:val="20"/>
                <w:szCs w:val="20"/>
                <w:highlight w:val="yellow"/>
              </w:rPr>
            </w:pPr>
          </w:p>
        </w:tc>
      </w:tr>
    </w:tbl>
    <w:p w14:paraId="52359220" w14:textId="73C68CE9" w:rsidR="00BE01EF" w:rsidRPr="00F4489A"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F4489A" w14:paraId="4ED221F4" w14:textId="77777777" w:rsidTr="00612098">
        <w:tc>
          <w:tcPr>
            <w:tcW w:w="9016" w:type="dxa"/>
          </w:tcPr>
          <w:p w14:paraId="124727E4" w14:textId="0D2EAC78" w:rsidR="00612098" w:rsidRPr="00F4489A" w:rsidRDefault="00612098">
            <w:pPr>
              <w:rPr>
                <w:rFonts w:ascii="Arial" w:hAnsi="Arial" w:cs="Arial"/>
                <w:b/>
                <w:bCs/>
                <w:sz w:val="20"/>
                <w:szCs w:val="20"/>
              </w:rPr>
            </w:pPr>
            <w:r w:rsidRPr="00F4489A">
              <w:rPr>
                <w:rFonts w:ascii="Arial" w:hAnsi="Arial" w:cs="Arial"/>
                <w:b/>
                <w:bCs/>
                <w:sz w:val="20"/>
                <w:szCs w:val="20"/>
              </w:rPr>
              <w:t xml:space="preserve">Key Governance Responsibilities </w:t>
            </w:r>
          </w:p>
        </w:tc>
      </w:tr>
      <w:tr w:rsidR="00612098" w:rsidRPr="00F4489A" w14:paraId="794C8724" w14:textId="77777777" w:rsidTr="00612098">
        <w:trPr>
          <w:trHeight w:val="1189"/>
        </w:trPr>
        <w:tc>
          <w:tcPr>
            <w:tcW w:w="9016" w:type="dxa"/>
          </w:tcPr>
          <w:p w14:paraId="333511C3" w14:textId="77777777" w:rsidR="00982113" w:rsidRPr="00F4489A" w:rsidRDefault="00982113" w:rsidP="001732C6">
            <w:pPr>
              <w:numPr>
                <w:ilvl w:val="0"/>
                <w:numId w:val="11"/>
              </w:numPr>
              <w:spacing w:line="278" w:lineRule="auto"/>
              <w:rPr>
                <w:rFonts w:ascii="Arial" w:hAnsi="Arial" w:cs="Arial"/>
                <w:sz w:val="20"/>
                <w:szCs w:val="20"/>
              </w:rPr>
            </w:pPr>
            <w:r w:rsidRPr="00F4489A">
              <w:rPr>
                <w:rFonts w:ascii="Arial" w:hAnsi="Arial" w:cs="Arial"/>
                <w:sz w:val="20"/>
                <w:szCs w:val="20"/>
              </w:rPr>
              <w:t>Pricing Committee attendee</w:t>
            </w:r>
          </w:p>
          <w:p w14:paraId="15F733C5" w14:textId="77777777" w:rsidR="00982113" w:rsidRPr="00F4489A" w:rsidRDefault="00982113" w:rsidP="001732C6">
            <w:pPr>
              <w:numPr>
                <w:ilvl w:val="0"/>
                <w:numId w:val="11"/>
              </w:numPr>
              <w:spacing w:line="278" w:lineRule="auto"/>
              <w:rPr>
                <w:rFonts w:ascii="Arial" w:hAnsi="Arial" w:cs="Arial"/>
                <w:sz w:val="20"/>
                <w:szCs w:val="20"/>
              </w:rPr>
            </w:pPr>
            <w:r w:rsidRPr="00F4489A">
              <w:rPr>
                <w:rFonts w:ascii="Arial" w:hAnsi="Arial" w:cs="Arial"/>
                <w:sz w:val="20"/>
                <w:szCs w:val="20"/>
              </w:rPr>
              <w:t>May attend Segment Performance meetings and other pricing or data governance forums as required</w:t>
            </w:r>
          </w:p>
          <w:p w14:paraId="6E6D7C75" w14:textId="77777777" w:rsidR="00612098" w:rsidRPr="00F4489A" w:rsidRDefault="00612098" w:rsidP="00682B78">
            <w:pPr>
              <w:pStyle w:val="ListParagraph"/>
              <w:ind w:left="360"/>
              <w:rPr>
                <w:rFonts w:ascii="Arial" w:hAnsi="Arial" w:cs="Arial"/>
                <w:sz w:val="20"/>
                <w:szCs w:val="20"/>
              </w:rPr>
            </w:pPr>
          </w:p>
        </w:tc>
      </w:tr>
    </w:tbl>
    <w:p w14:paraId="335D89E0" w14:textId="77777777" w:rsidR="00761467" w:rsidRPr="00F4489A" w:rsidRDefault="0076146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F4489A" w14:paraId="6CA2349B" w14:textId="77777777" w:rsidTr="00BE01EF">
        <w:tc>
          <w:tcPr>
            <w:tcW w:w="4508" w:type="dxa"/>
            <w:shd w:val="clear" w:color="auto" w:fill="D9D9D9" w:themeFill="background1" w:themeFillShade="D9"/>
          </w:tcPr>
          <w:p w14:paraId="6E7D8EBA" w14:textId="50B71076" w:rsidR="00BE01EF" w:rsidRPr="00F4489A" w:rsidRDefault="00BE01EF" w:rsidP="00BE01EF">
            <w:pPr>
              <w:rPr>
                <w:rFonts w:ascii="Arial" w:hAnsi="Arial" w:cs="Arial"/>
                <w:sz w:val="20"/>
                <w:szCs w:val="20"/>
              </w:rPr>
            </w:pPr>
            <w:r w:rsidRPr="00F4489A">
              <w:rPr>
                <w:rFonts w:ascii="Arial" w:hAnsi="Arial" w:cs="Arial"/>
                <w:b/>
                <w:sz w:val="20"/>
                <w:szCs w:val="20"/>
              </w:rPr>
              <w:t xml:space="preserve">Leadership </w:t>
            </w:r>
            <w:r w:rsidR="00B963D8" w:rsidRPr="00F4489A">
              <w:rPr>
                <w:rFonts w:ascii="Arial" w:hAnsi="Arial" w:cs="Arial"/>
                <w:b/>
                <w:sz w:val="20"/>
                <w:szCs w:val="20"/>
              </w:rPr>
              <w:t>Behaviours</w:t>
            </w:r>
          </w:p>
        </w:tc>
        <w:tc>
          <w:tcPr>
            <w:tcW w:w="4508" w:type="dxa"/>
            <w:shd w:val="clear" w:color="auto" w:fill="D9D9D9" w:themeFill="background1" w:themeFillShade="D9"/>
          </w:tcPr>
          <w:p w14:paraId="61D9691C" w14:textId="23BDCDD2" w:rsidR="00BE01EF" w:rsidRPr="00F4489A" w:rsidRDefault="00BE01EF" w:rsidP="00BE01EF">
            <w:pPr>
              <w:rPr>
                <w:rFonts w:ascii="Arial" w:hAnsi="Arial" w:cs="Arial"/>
                <w:sz w:val="20"/>
                <w:szCs w:val="20"/>
              </w:rPr>
            </w:pPr>
            <w:r w:rsidRPr="00F4489A">
              <w:rPr>
                <w:rFonts w:ascii="Arial" w:hAnsi="Arial" w:cs="Arial"/>
                <w:b/>
                <w:sz w:val="20"/>
                <w:szCs w:val="20"/>
              </w:rPr>
              <w:t>Level</w:t>
            </w:r>
          </w:p>
        </w:tc>
      </w:tr>
      <w:tr w:rsidR="00BE01EF" w:rsidRPr="00F4489A" w14:paraId="53705222" w14:textId="77777777" w:rsidTr="00BE01EF">
        <w:tc>
          <w:tcPr>
            <w:tcW w:w="4508" w:type="dxa"/>
          </w:tcPr>
          <w:p w14:paraId="25C90B8E" w14:textId="438DBC24" w:rsidR="00BE01EF" w:rsidRPr="00F4489A" w:rsidRDefault="00BE01EF" w:rsidP="00BE01EF">
            <w:pPr>
              <w:rPr>
                <w:rFonts w:ascii="Arial" w:hAnsi="Arial" w:cs="Arial"/>
                <w:sz w:val="20"/>
                <w:szCs w:val="20"/>
              </w:rPr>
            </w:pPr>
            <w:r w:rsidRPr="00F4489A">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710411FB" w:rsidR="00BE01EF" w:rsidRPr="00F4489A" w:rsidRDefault="004A2703" w:rsidP="00BE01EF">
                <w:pPr>
                  <w:rPr>
                    <w:rFonts w:ascii="Arial" w:hAnsi="Arial" w:cs="Arial"/>
                    <w:sz w:val="20"/>
                    <w:szCs w:val="20"/>
                  </w:rPr>
                </w:pPr>
                <w:r w:rsidRPr="00F4489A">
                  <w:rPr>
                    <w:rFonts w:ascii="Arial" w:hAnsi="Arial" w:cs="Arial"/>
                    <w:sz w:val="20"/>
                    <w:szCs w:val="20"/>
                  </w:rPr>
                  <w:t>Leading Self</w:t>
                </w:r>
              </w:p>
            </w:tc>
          </w:sdtContent>
        </w:sdt>
      </w:tr>
      <w:tr w:rsidR="00BE01EF" w:rsidRPr="00F4489A" w14:paraId="0B30F7B2" w14:textId="77777777" w:rsidTr="00BE01EF">
        <w:tc>
          <w:tcPr>
            <w:tcW w:w="4508" w:type="dxa"/>
          </w:tcPr>
          <w:p w14:paraId="170BBCA5" w14:textId="1ABCACA7" w:rsidR="00BE01EF" w:rsidRPr="00F4489A" w:rsidRDefault="00BE01EF" w:rsidP="00BE01EF">
            <w:pPr>
              <w:rPr>
                <w:rFonts w:ascii="Arial" w:hAnsi="Arial" w:cs="Arial"/>
                <w:sz w:val="20"/>
                <w:szCs w:val="20"/>
              </w:rPr>
            </w:pPr>
            <w:r w:rsidRPr="00F4489A">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68970BA6" w:rsidR="00BE01EF" w:rsidRPr="00F4489A" w:rsidRDefault="004A2703" w:rsidP="00BE01EF">
                <w:pPr>
                  <w:rPr>
                    <w:rFonts w:ascii="Arial" w:hAnsi="Arial" w:cs="Arial"/>
                    <w:sz w:val="20"/>
                    <w:szCs w:val="20"/>
                  </w:rPr>
                </w:pPr>
                <w:r w:rsidRPr="00F4489A">
                  <w:rPr>
                    <w:rFonts w:ascii="Arial" w:hAnsi="Arial" w:cs="Arial"/>
                    <w:sz w:val="20"/>
                    <w:szCs w:val="20"/>
                  </w:rPr>
                  <w:t>Leading Self</w:t>
                </w:r>
              </w:p>
            </w:tc>
          </w:sdtContent>
        </w:sdt>
      </w:tr>
      <w:tr w:rsidR="00BE01EF" w:rsidRPr="00F4489A" w14:paraId="5E20BBE1" w14:textId="77777777" w:rsidTr="00BE01EF">
        <w:tc>
          <w:tcPr>
            <w:tcW w:w="4508" w:type="dxa"/>
          </w:tcPr>
          <w:p w14:paraId="709B11C5" w14:textId="32C929D7" w:rsidR="00BE01EF" w:rsidRPr="00F4489A" w:rsidRDefault="00BE01EF" w:rsidP="00BE01EF">
            <w:pPr>
              <w:rPr>
                <w:rFonts w:ascii="Arial" w:hAnsi="Arial" w:cs="Arial"/>
                <w:sz w:val="20"/>
                <w:szCs w:val="20"/>
              </w:rPr>
            </w:pPr>
            <w:r w:rsidRPr="00F4489A">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791054AE" w:rsidR="00BE01EF" w:rsidRPr="00F4489A" w:rsidRDefault="00625333" w:rsidP="00BE01EF">
                <w:pPr>
                  <w:rPr>
                    <w:rFonts w:ascii="Arial" w:hAnsi="Arial" w:cs="Arial"/>
                    <w:sz w:val="20"/>
                    <w:szCs w:val="20"/>
                  </w:rPr>
                </w:pPr>
                <w:r w:rsidRPr="00F4489A">
                  <w:rPr>
                    <w:rFonts w:ascii="Arial" w:hAnsi="Arial" w:cs="Arial"/>
                    <w:sz w:val="20"/>
                    <w:szCs w:val="20"/>
                  </w:rPr>
                  <w:t>Leading Others</w:t>
                </w:r>
              </w:p>
            </w:tc>
          </w:sdtContent>
        </w:sdt>
      </w:tr>
      <w:tr w:rsidR="00BE01EF" w:rsidRPr="00F4489A" w14:paraId="44B82A3B" w14:textId="77777777" w:rsidTr="00BE01EF">
        <w:tc>
          <w:tcPr>
            <w:tcW w:w="4508" w:type="dxa"/>
          </w:tcPr>
          <w:p w14:paraId="28D499D4" w14:textId="4BC58D89" w:rsidR="00BE01EF" w:rsidRPr="00F4489A" w:rsidRDefault="00BE01EF" w:rsidP="00BE01EF">
            <w:pPr>
              <w:rPr>
                <w:rFonts w:ascii="Arial" w:hAnsi="Arial" w:cs="Arial"/>
                <w:sz w:val="20"/>
                <w:szCs w:val="20"/>
              </w:rPr>
            </w:pPr>
            <w:r w:rsidRPr="00F4489A">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0941F9F0" w:rsidR="00BE01EF" w:rsidRPr="00F4489A" w:rsidRDefault="00625333" w:rsidP="00BE01EF">
                <w:pPr>
                  <w:rPr>
                    <w:rFonts w:ascii="Arial" w:hAnsi="Arial" w:cs="Arial"/>
                    <w:sz w:val="20"/>
                    <w:szCs w:val="20"/>
                  </w:rPr>
                </w:pPr>
                <w:r w:rsidRPr="00F4489A">
                  <w:rPr>
                    <w:rFonts w:ascii="Arial" w:hAnsi="Arial" w:cs="Arial"/>
                    <w:sz w:val="20"/>
                    <w:szCs w:val="20"/>
                  </w:rPr>
                  <w:t>Leading Others</w:t>
                </w:r>
              </w:p>
            </w:tc>
          </w:sdtContent>
        </w:sdt>
      </w:tr>
      <w:tr w:rsidR="00BE01EF" w:rsidRPr="00F4489A" w14:paraId="5C469545" w14:textId="77777777" w:rsidTr="00BE01EF">
        <w:tc>
          <w:tcPr>
            <w:tcW w:w="4508" w:type="dxa"/>
          </w:tcPr>
          <w:p w14:paraId="6838F2F9" w14:textId="6C91700B" w:rsidR="00BE01EF" w:rsidRPr="00F4489A" w:rsidRDefault="00BE01EF" w:rsidP="00BE01EF">
            <w:pPr>
              <w:rPr>
                <w:rFonts w:ascii="Arial" w:hAnsi="Arial" w:cs="Arial"/>
                <w:sz w:val="20"/>
                <w:szCs w:val="20"/>
              </w:rPr>
            </w:pPr>
            <w:r w:rsidRPr="00F4489A">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697B2234" w:rsidR="00BE01EF" w:rsidRPr="00F4489A" w:rsidRDefault="004A2703" w:rsidP="00BE01EF">
                <w:pPr>
                  <w:rPr>
                    <w:rFonts w:ascii="Arial" w:hAnsi="Arial" w:cs="Arial"/>
                    <w:sz w:val="20"/>
                    <w:szCs w:val="20"/>
                  </w:rPr>
                </w:pPr>
                <w:r w:rsidRPr="00F4489A">
                  <w:rPr>
                    <w:rFonts w:ascii="Arial" w:hAnsi="Arial" w:cs="Arial"/>
                    <w:sz w:val="20"/>
                    <w:szCs w:val="20"/>
                  </w:rPr>
                  <w:t>Leading Self</w:t>
                </w:r>
              </w:p>
            </w:tc>
          </w:sdtContent>
        </w:sdt>
      </w:tr>
      <w:tr w:rsidR="00BE01EF" w:rsidRPr="00F4489A" w14:paraId="18FDF314" w14:textId="77777777" w:rsidTr="00BE01EF">
        <w:tc>
          <w:tcPr>
            <w:tcW w:w="4508" w:type="dxa"/>
          </w:tcPr>
          <w:p w14:paraId="1AD96B3C" w14:textId="7B36EB6D" w:rsidR="00BE01EF" w:rsidRPr="00F4489A" w:rsidRDefault="00BE01EF" w:rsidP="00BE01EF">
            <w:pPr>
              <w:rPr>
                <w:rFonts w:ascii="Arial" w:hAnsi="Arial" w:cs="Arial"/>
                <w:sz w:val="20"/>
                <w:szCs w:val="20"/>
              </w:rPr>
            </w:pPr>
            <w:r w:rsidRPr="00F4489A">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66633050" w:rsidR="00BE01EF" w:rsidRPr="00F4489A" w:rsidRDefault="00B92BD7" w:rsidP="00BE01EF">
                <w:pPr>
                  <w:rPr>
                    <w:rFonts w:ascii="Arial" w:hAnsi="Arial" w:cs="Arial"/>
                    <w:sz w:val="20"/>
                    <w:szCs w:val="20"/>
                  </w:rPr>
                </w:pPr>
                <w:r w:rsidRPr="00F4489A">
                  <w:rPr>
                    <w:rFonts w:ascii="Arial" w:hAnsi="Arial" w:cs="Arial"/>
                    <w:sz w:val="20"/>
                    <w:szCs w:val="20"/>
                  </w:rPr>
                  <w:t>Leading Others</w:t>
                </w:r>
              </w:p>
            </w:tc>
          </w:sdtContent>
        </w:sdt>
      </w:tr>
    </w:tbl>
    <w:p w14:paraId="1E9AAF80" w14:textId="30ED177D" w:rsidR="00BE01EF" w:rsidRPr="00F4489A" w:rsidRDefault="00BE01EF">
      <w:pPr>
        <w:rPr>
          <w:rFonts w:ascii="Arial" w:hAnsi="Arial" w:cs="Arial"/>
          <w:sz w:val="20"/>
          <w:szCs w:val="20"/>
        </w:rPr>
      </w:pPr>
    </w:p>
    <w:p w14:paraId="6B016558" w14:textId="77777777" w:rsidR="00865D1F" w:rsidRPr="00F4489A" w:rsidRDefault="00865D1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F4489A" w14:paraId="5FACFC7C" w14:textId="77777777" w:rsidTr="00EC5D89">
        <w:trPr>
          <w:trHeight w:val="344"/>
        </w:trPr>
        <w:tc>
          <w:tcPr>
            <w:tcW w:w="459" w:type="dxa"/>
            <w:shd w:val="clear" w:color="auto" w:fill="D9D9D9" w:themeFill="background1" w:themeFillShade="D9"/>
          </w:tcPr>
          <w:p w14:paraId="4DBDE621" w14:textId="77777777" w:rsidR="00BE01EF" w:rsidRPr="00F4489A"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F4489A" w:rsidRDefault="00BE01EF" w:rsidP="00EC5D89">
            <w:pPr>
              <w:jc w:val="center"/>
              <w:rPr>
                <w:rFonts w:ascii="Arial" w:hAnsi="Arial" w:cs="Arial"/>
                <w:sz w:val="20"/>
                <w:szCs w:val="20"/>
              </w:rPr>
            </w:pPr>
            <w:r w:rsidRPr="00F4489A">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F4489A" w:rsidRDefault="00BE01EF" w:rsidP="00EC5D89">
            <w:pPr>
              <w:jc w:val="center"/>
              <w:rPr>
                <w:rFonts w:ascii="Arial" w:hAnsi="Arial" w:cs="Arial"/>
                <w:sz w:val="20"/>
                <w:szCs w:val="20"/>
              </w:rPr>
            </w:pPr>
            <w:r w:rsidRPr="00F4489A">
              <w:rPr>
                <w:rFonts w:ascii="Arial" w:hAnsi="Arial" w:cs="Arial"/>
                <w:b/>
                <w:sz w:val="20"/>
                <w:szCs w:val="20"/>
              </w:rPr>
              <w:t>Skills</w:t>
            </w:r>
          </w:p>
        </w:tc>
        <w:tc>
          <w:tcPr>
            <w:tcW w:w="2818" w:type="dxa"/>
            <w:shd w:val="clear" w:color="auto" w:fill="D9D9D9" w:themeFill="background1" w:themeFillShade="D9"/>
          </w:tcPr>
          <w:p w14:paraId="263879FF" w14:textId="69679D98" w:rsidR="00BE01EF" w:rsidRPr="00F4489A" w:rsidRDefault="00BE01EF" w:rsidP="00EC5D89">
            <w:pPr>
              <w:jc w:val="center"/>
              <w:rPr>
                <w:rFonts w:ascii="Arial" w:hAnsi="Arial" w:cs="Arial"/>
                <w:sz w:val="20"/>
                <w:szCs w:val="20"/>
              </w:rPr>
            </w:pPr>
            <w:r w:rsidRPr="00F4489A">
              <w:rPr>
                <w:rFonts w:ascii="Arial" w:hAnsi="Arial" w:cs="Arial"/>
                <w:b/>
                <w:sz w:val="20"/>
                <w:szCs w:val="20"/>
              </w:rPr>
              <w:t>Experience</w:t>
            </w:r>
          </w:p>
        </w:tc>
      </w:tr>
      <w:tr w:rsidR="00BE01EF" w:rsidRPr="00F4489A" w14:paraId="438C422D" w14:textId="77777777" w:rsidTr="00EC5D89">
        <w:trPr>
          <w:trHeight w:val="1495"/>
        </w:trPr>
        <w:tc>
          <w:tcPr>
            <w:tcW w:w="459" w:type="dxa"/>
            <w:shd w:val="clear" w:color="auto" w:fill="D9D9D9" w:themeFill="background1" w:themeFillShade="D9"/>
            <w:textDirection w:val="btLr"/>
          </w:tcPr>
          <w:p w14:paraId="0A5EFA84" w14:textId="1E3659F6" w:rsidR="00BE01EF" w:rsidRPr="00F4489A" w:rsidRDefault="00BE01EF" w:rsidP="00EC5D89">
            <w:pPr>
              <w:jc w:val="center"/>
              <w:rPr>
                <w:rFonts w:ascii="Arial" w:hAnsi="Arial" w:cs="Arial"/>
                <w:sz w:val="20"/>
                <w:szCs w:val="20"/>
              </w:rPr>
            </w:pPr>
            <w:r w:rsidRPr="00F4489A">
              <w:rPr>
                <w:rFonts w:ascii="Arial" w:hAnsi="Arial" w:cs="Arial"/>
                <w:b/>
                <w:sz w:val="20"/>
                <w:szCs w:val="20"/>
              </w:rPr>
              <w:lastRenderedPageBreak/>
              <w:t>Essential</w:t>
            </w:r>
          </w:p>
        </w:tc>
        <w:tc>
          <w:tcPr>
            <w:tcW w:w="2797" w:type="dxa"/>
          </w:tcPr>
          <w:p w14:paraId="4D4199A6" w14:textId="77777777" w:rsidR="00032860" w:rsidRPr="00F4489A" w:rsidRDefault="00032860" w:rsidP="001732C6">
            <w:pPr>
              <w:numPr>
                <w:ilvl w:val="0"/>
                <w:numId w:val="12"/>
              </w:numPr>
              <w:spacing w:line="278" w:lineRule="auto"/>
              <w:rPr>
                <w:rFonts w:ascii="Arial" w:hAnsi="Arial" w:cs="Arial"/>
                <w:sz w:val="20"/>
                <w:szCs w:val="20"/>
              </w:rPr>
            </w:pPr>
            <w:r w:rsidRPr="00F4489A">
              <w:rPr>
                <w:rFonts w:ascii="Arial" w:hAnsi="Arial" w:cs="Arial"/>
                <w:sz w:val="20"/>
                <w:szCs w:val="20"/>
              </w:rPr>
              <w:t>Numerical degree or equivalent analytical experience</w:t>
            </w:r>
          </w:p>
          <w:p w14:paraId="68B063D2" w14:textId="77777777" w:rsidR="00032860" w:rsidRPr="00F4489A" w:rsidRDefault="00032860" w:rsidP="001732C6">
            <w:pPr>
              <w:numPr>
                <w:ilvl w:val="0"/>
                <w:numId w:val="12"/>
              </w:numPr>
              <w:spacing w:line="278" w:lineRule="auto"/>
              <w:rPr>
                <w:rFonts w:ascii="Arial" w:hAnsi="Arial" w:cs="Arial"/>
                <w:sz w:val="20"/>
                <w:szCs w:val="20"/>
              </w:rPr>
            </w:pPr>
            <w:r w:rsidRPr="00F4489A">
              <w:rPr>
                <w:rFonts w:ascii="Arial" w:hAnsi="Arial" w:cs="Arial"/>
                <w:sz w:val="20"/>
                <w:szCs w:val="20"/>
              </w:rPr>
              <w:t>Strong understanding of pricing, analytics, and data science principles</w:t>
            </w:r>
          </w:p>
          <w:p w14:paraId="51F26C6B" w14:textId="77777777" w:rsidR="00032860" w:rsidRPr="00F4489A" w:rsidRDefault="00032860" w:rsidP="001732C6">
            <w:pPr>
              <w:numPr>
                <w:ilvl w:val="0"/>
                <w:numId w:val="12"/>
              </w:numPr>
              <w:spacing w:line="278" w:lineRule="auto"/>
              <w:rPr>
                <w:rFonts w:ascii="Arial" w:hAnsi="Arial" w:cs="Arial"/>
                <w:sz w:val="20"/>
                <w:szCs w:val="20"/>
              </w:rPr>
            </w:pPr>
            <w:r w:rsidRPr="00F4489A">
              <w:rPr>
                <w:rFonts w:ascii="Arial" w:hAnsi="Arial" w:cs="Arial"/>
                <w:sz w:val="20"/>
                <w:szCs w:val="20"/>
              </w:rPr>
              <w:t>Knowledge of predictive modelling and statistical techniques</w:t>
            </w:r>
          </w:p>
          <w:p w14:paraId="78BD48C8" w14:textId="788BB600" w:rsidR="00BE01EF" w:rsidRPr="00F4489A" w:rsidRDefault="00BE01EF" w:rsidP="00BE01EF">
            <w:pPr>
              <w:rPr>
                <w:rFonts w:ascii="Arial" w:hAnsi="Arial" w:cs="Arial"/>
                <w:sz w:val="20"/>
                <w:szCs w:val="20"/>
              </w:rPr>
            </w:pPr>
          </w:p>
        </w:tc>
        <w:tc>
          <w:tcPr>
            <w:tcW w:w="2941" w:type="dxa"/>
          </w:tcPr>
          <w:p w14:paraId="6FA9A9B2" w14:textId="77777777" w:rsidR="00C50A41" w:rsidRPr="002C7592" w:rsidRDefault="00C50A41" w:rsidP="00F0215A">
            <w:pPr>
              <w:numPr>
                <w:ilvl w:val="0"/>
                <w:numId w:val="14"/>
              </w:numPr>
              <w:spacing w:line="278" w:lineRule="auto"/>
              <w:rPr>
                <w:rFonts w:ascii="Arial" w:hAnsi="Arial" w:cs="Arial"/>
                <w:sz w:val="20"/>
                <w:szCs w:val="20"/>
              </w:rPr>
            </w:pPr>
            <w:r w:rsidRPr="002C7592">
              <w:rPr>
                <w:rFonts w:ascii="Arial" w:hAnsi="Arial" w:cs="Arial"/>
                <w:sz w:val="20"/>
                <w:szCs w:val="20"/>
              </w:rPr>
              <w:t>Advanced Microsoft Excel (including modelling, pivots, VBA)</w:t>
            </w:r>
          </w:p>
          <w:p w14:paraId="2EBD4E53" w14:textId="77777777" w:rsidR="00F0215A" w:rsidRPr="002C7592" w:rsidRDefault="00F0215A" w:rsidP="00F0215A">
            <w:pPr>
              <w:numPr>
                <w:ilvl w:val="0"/>
                <w:numId w:val="14"/>
              </w:numPr>
              <w:spacing w:line="278" w:lineRule="auto"/>
              <w:rPr>
                <w:rFonts w:ascii="Arial" w:hAnsi="Arial" w:cs="Arial"/>
                <w:sz w:val="20"/>
                <w:szCs w:val="20"/>
              </w:rPr>
            </w:pPr>
            <w:r w:rsidRPr="002C7592">
              <w:rPr>
                <w:rFonts w:ascii="Arial" w:hAnsi="Arial" w:cs="Arial"/>
                <w:sz w:val="20"/>
                <w:szCs w:val="20"/>
              </w:rPr>
              <w:t>Coding capability in Python, R, SAS, or SQL. and experience working with complex datasets</w:t>
            </w:r>
          </w:p>
          <w:p w14:paraId="5FB2F3A2" w14:textId="77777777" w:rsidR="00C50A41" w:rsidRPr="002C7592" w:rsidRDefault="00C50A41" w:rsidP="00F0215A">
            <w:pPr>
              <w:numPr>
                <w:ilvl w:val="0"/>
                <w:numId w:val="14"/>
              </w:numPr>
              <w:spacing w:line="278" w:lineRule="auto"/>
              <w:rPr>
                <w:rFonts w:ascii="Arial" w:hAnsi="Arial" w:cs="Arial"/>
                <w:sz w:val="20"/>
                <w:szCs w:val="20"/>
              </w:rPr>
            </w:pPr>
            <w:r w:rsidRPr="002C7592">
              <w:rPr>
                <w:rFonts w:ascii="Arial" w:hAnsi="Arial" w:cs="Arial"/>
                <w:sz w:val="20"/>
                <w:szCs w:val="20"/>
              </w:rPr>
              <w:t>An open</w:t>
            </w:r>
            <w:r w:rsidRPr="002C7592">
              <w:rPr>
                <w:rFonts w:ascii="Arial" w:hAnsi="Arial" w:cs="Arial"/>
                <w:sz w:val="20"/>
                <w:szCs w:val="20"/>
              </w:rPr>
              <w:noBreakHyphen/>
              <w:t>minded individual with a strong interest in statistical regression and GLMs, which are critical to supporting our transformational programme.</w:t>
            </w:r>
          </w:p>
          <w:p w14:paraId="55AC6C19" w14:textId="77777777" w:rsidR="008B7394" w:rsidRPr="002C7592" w:rsidRDefault="008B7394" w:rsidP="00F0215A">
            <w:pPr>
              <w:numPr>
                <w:ilvl w:val="0"/>
                <w:numId w:val="14"/>
              </w:numPr>
              <w:spacing w:line="278" w:lineRule="auto"/>
              <w:rPr>
                <w:rFonts w:ascii="Arial" w:hAnsi="Arial" w:cs="Arial"/>
                <w:sz w:val="20"/>
                <w:szCs w:val="20"/>
              </w:rPr>
            </w:pPr>
            <w:r w:rsidRPr="002C7592">
              <w:rPr>
                <w:rFonts w:ascii="Arial" w:hAnsi="Arial" w:cs="Arial"/>
                <w:sz w:val="20"/>
                <w:szCs w:val="20"/>
              </w:rPr>
              <w:t>Strong analytical, problem-solving, and critical-thinking skills</w:t>
            </w:r>
          </w:p>
          <w:p w14:paraId="52BBE900" w14:textId="77777777" w:rsidR="008B7394" w:rsidRPr="002C7592" w:rsidRDefault="008B7394" w:rsidP="00F0215A">
            <w:pPr>
              <w:numPr>
                <w:ilvl w:val="0"/>
                <w:numId w:val="14"/>
              </w:numPr>
              <w:spacing w:line="278" w:lineRule="auto"/>
              <w:rPr>
                <w:rFonts w:ascii="Arial" w:hAnsi="Arial" w:cs="Arial"/>
                <w:sz w:val="20"/>
                <w:szCs w:val="20"/>
              </w:rPr>
            </w:pPr>
            <w:r w:rsidRPr="002C7592">
              <w:rPr>
                <w:rFonts w:ascii="Arial" w:hAnsi="Arial" w:cs="Arial"/>
                <w:sz w:val="20"/>
                <w:szCs w:val="20"/>
              </w:rPr>
              <w:t>Ability to communicate complex technical concepts clearly to non-technical stakeholders</w:t>
            </w:r>
          </w:p>
          <w:p w14:paraId="0DE690C0" w14:textId="77777777" w:rsidR="008B7394" w:rsidRPr="002C7592" w:rsidRDefault="008B7394" w:rsidP="00F0215A">
            <w:pPr>
              <w:numPr>
                <w:ilvl w:val="0"/>
                <w:numId w:val="14"/>
              </w:numPr>
              <w:spacing w:line="278" w:lineRule="auto"/>
              <w:rPr>
                <w:rFonts w:ascii="Arial" w:hAnsi="Arial" w:cs="Arial"/>
                <w:sz w:val="20"/>
                <w:szCs w:val="20"/>
              </w:rPr>
            </w:pPr>
            <w:r w:rsidRPr="002C7592">
              <w:rPr>
                <w:rFonts w:ascii="Arial" w:hAnsi="Arial" w:cs="Arial"/>
                <w:sz w:val="20"/>
                <w:szCs w:val="20"/>
              </w:rPr>
              <w:t>Strong stakeholder management and collaboration skills</w:t>
            </w:r>
          </w:p>
          <w:p w14:paraId="614BD0DE" w14:textId="77777777" w:rsidR="008B7394" w:rsidRPr="002C7592" w:rsidRDefault="008B7394" w:rsidP="00F0215A">
            <w:pPr>
              <w:numPr>
                <w:ilvl w:val="0"/>
                <w:numId w:val="14"/>
              </w:numPr>
              <w:spacing w:line="278" w:lineRule="auto"/>
              <w:rPr>
                <w:rFonts w:ascii="Arial" w:hAnsi="Arial" w:cs="Arial"/>
                <w:sz w:val="20"/>
                <w:szCs w:val="20"/>
              </w:rPr>
            </w:pPr>
            <w:r w:rsidRPr="002C7592">
              <w:rPr>
                <w:rFonts w:ascii="Arial" w:hAnsi="Arial" w:cs="Arial"/>
                <w:sz w:val="20"/>
                <w:szCs w:val="20"/>
              </w:rPr>
              <w:t>High attention to detail, planning, and prioritisation skills</w:t>
            </w:r>
          </w:p>
          <w:p w14:paraId="109E0EA7" w14:textId="095CAA88" w:rsidR="00BE01EF" w:rsidRPr="002C7592" w:rsidRDefault="00BE01EF" w:rsidP="00625333">
            <w:pPr>
              <w:pStyle w:val="ListParagraph"/>
              <w:spacing w:before="100" w:beforeAutospacing="1" w:afterAutospacing="1"/>
              <w:rPr>
                <w:rFonts w:ascii="Arial" w:hAnsi="Arial" w:cs="Arial"/>
                <w:sz w:val="20"/>
                <w:szCs w:val="20"/>
              </w:rPr>
            </w:pPr>
          </w:p>
        </w:tc>
        <w:tc>
          <w:tcPr>
            <w:tcW w:w="2818" w:type="dxa"/>
          </w:tcPr>
          <w:p w14:paraId="4B12C89B" w14:textId="77777777" w:rsidR="002305C7" w:rsidRPr="002C7592" w:rsidRDefault="002305C7" w:rsidP="0010764D">
            <w:pPr>
              <w:numPr>
                <w:ilvl w:val="0"/>
                <w:numId w:val="13"/>
              </w:numPr>
              <w:spacing w:line="278" w:lineRule="auto"/>
              <w:rPr>
                <w:rFonts w:ascii="Arial" w:hAnsi="Arial" w:cs="Arial"/>
                <w:sz w:val="20"/>
                <w:szCs w:val="20"/>
              </w:rPr>
            </w:pPr>
            <w:r w:rsidRPr="002C7592">
              <w:rPr>
                <w:rFonts w:ascii="Arial" w:hAnsi="Arial" w:cs="Arial"/>
                <w:sz w:val="20"/>
                <w:szCs w:val="20"/>
              </w:rPr>
              <w:t>Experience delivering pricing, analytics, or data science work in a commercial or regulated environment</w:t>
            </w:r>
          </w:p>
          <w:p w14:paraId="2AA6B8C7" w14:textId="77777777" w:rsidR="002305C7" w:rsidRPr="002C7592" w:rsidRDefault="002305C7" w:rsidP="0010764D">
            <w:pPr>
              <w:numPr>
                <w:ilvl w:val="0"/>
                <w:numId w:val="13"/>
              </w:numPr>
              <w:spacing w:line="278" w:lineRule="auto"/>
              <w:rPr>
                <w:rFonts w:ascii="Arial" w:hAnsi="Arial" w:cs="Arial"/>
                <w:sz w:val="20"/>
                <w:szCs w:val="20"/>
              </w:rPr>
            </w:pPr>
            <w:r w:rsidRPr="002C7592">
              <w:rPr>
                <w:rFonts w:ascii="Arial" w:hAnsi="Arial" w:cs="Arial"/>
                <w:sz w:val="20"/>
                <w:szCs w:val="20"/>
              </w:rPr>
              <w:t>Experience working with large, complex datasets</w:t>
            </w:r>
          </w:p>
          <w:p w14:paraId="590B754C" w14:textId="77777777" w:rsidR="002305C7" w:rsidRPr="002C7592" w:rsidRDefault="002305C7" w:rsidP="0010764D">
            <w:pPr>
              <w:numPr>
                <w:ilvl w:val="0"/>
                <w:numId w:val="13"/>
              </w:numPr>
              <w:spacing w:line="278" w:lineRule="auto"/>
              <w:rPr>
                <w:rFonts w:ascii="Arial" w:hAnsi="Arial" w:cs="Arial"/>
                <w:sz w:val="20"/>
                <w:szCs w:val="20"/>
              </w:rPr>
            </w:pPr>
            <w:r w:rsidRPr="002C7592">
              <w:rPr>
                <w:rFonts w:ascii="Arial" w:hAnsi="Arial" w:cs="Arial"/>
                <w:sz w:val="20"/>
                <w:szCs w:val="20"/>
              </w:rPr>
              <w:t>Experience supporting pricing or modelling decisions through to implementation</w:t>
            </w:r>
          </w:p>
          <w:p w14:paraId="3A3B7E57" w14:textId="77777777" w:rsidR="0010764D" w:rsidRPr="002C7592" w:rsidRDefault="0010764D" w:rsidP="0010764D">
            <w:pPr>
              <w:numPr>
                <w:ilvl w:val="0"/>
                <w:numId w:val="13"/>
              </w:numPr>
              <w:spacing w:line="278" w:lineRule="auto"/>
              <w:rPr>
                <w:rFonts w:ascii="Arial" w:hAnsi="Arial" w:cs="Arial"/>
                <w:sz w:val="20"/>
                <w:szCs w:val="20"/>
              </w:rPr>
            </w:pPr>
            <w:r w:rsidRPr="002C7592">
              <w:rPr>
                <w:rFonts w:ascii="Arial" w:hAnsi="Arial" w:cs="Arial"/>
                <w:sz w:val="20"/>
                <w:szCs w:val="20"/>
              </w:rPr>
              <w:t>Demonstrated experience in GLM modelling and predictive analytics.</w:t>
            </w:r>
          </w:p>
          <w:p w14:paraId="176AB536" w14:textId="77777777" w:rsidR="0010764D" w:rsidRPr="002C7592" w:rsidRDefault="0010764D" w:rsidP="0010764D">
            <w:pPr>
              <w:numPr>
                <w:ilvl w:val="0"/>
                <w:numId w:val="13"/>
              </w:numPr>
              <w:spacing w:line="278" w:lineRule="auto"/>
              <w:rPr>
                <w:rFonts w:ascii="Arial" w:hAnsi="Arial" w:cs="Arial"/>
                <w:sz w:val="20"/>
                <w:szCs w:val="20"/>
              </w:rPr>
            </w:pPr>
            <w:r w:rsidRPr="002C7592">
              <w:rPr>
                <w:rFonts w:ascii="Arial" w:hAnsi="Arial" w:cs="Arial"/>
                <w:sz w:val="20"/>
                <w:szCs w:val="20"/>
              </w:rPr>
              <w:t>Experience leading transformation or change initiatives.</w:t>
            </w:r>
          </w:p>
          <w:p w14:paraId="73B697C7" w14:textId="77777777" w:rsidR="0010764D" w:rsidRPr="002C7592" w:rsidRDefault="0010764D" w:rsidP="0010764D">
            <w:pPr>
              <w:numPr>
                <w:ilvl w:val="0"/>
                <w:numId w:val="13"/>
              </w:numPr>
              <w:spacing w:line="278" w:lineRule="auto"/>
              <w:rPr>
                <w:rFonts w:ascii="Arial" w:hAnsi="Arial" w:cs="Arial"/>
                <w:sz w:val="20"/>
                <w:szCs w:val="20"/>
              </w:rPr>
            </w:pPr>
            <w:r w:rsidRPr="002C7592">
              <w:rPr>
                <w:rFonts w:ascii="Arial" w:hAnsi="Arial" w:cs="Arial"/>
                <w:sz w:val="20"/>
                <w:szCs w:val="20"/>
              </w:rPr>
              <w:t>Experience in pricing strategy and commercial analytics.</w:t>
            </w:r>
          </w:p>
          <w:p w14:paraId="161E44A6" w14:textId="77777777" w:rsidR="00F840A5" w:rsidRPr="002C7592" w:rsidRDefault="00F840A5" w:rsidP="00515082">
            <w:pPr>
              <w:spacing w:line="278" w:lineRule="auto"/>
              <w:ind w:left="720"/>
              <w:rPr>
                <w:rFonts w:ascii="Arial" w:hAnsi="Arial" w:cs="Arial"/>
                <w:sz w:val="20"/>
                <w:szCs w:val="20"/>
              </w:rPr>
            </w:pPr>
          </w:p>
          <w:p w14:paraId="1AA4E906" w14:textId="77777777" w:rsidR="00BE01EF" w:rsidRPr="002C7592" w:rsidRDefault="00BE01EF" w:rsidP="00BE01EF">
            <w:pPr>
              <w:rPr>
                <w:rFonts w:ascii="Arial" w:hAnsi="Arial" w:cs="Arial"/>
                <w:sz w:val="20"/>
                <w:szCs w:val="20"/>
              </w:rPr>
            </w:pPr>
          </w:p>
        </w:tc>
      </w:tr>
      <w:tr w:rsidR="00BE01EF" w:rsidRPr="00F4489A" w14:paraId="6D2B9F23" w14:textId="77777777" w:rsidTr="00EC5D89">
        <w:trPr>
          <w:trHeight w:val="1602"/>
        </w:trPr>
        <w:tc>
          <w:tcPr>
            <w:tcW w:w="459" w:type="dxa"/>
            <w:shd w:val="clear" w:color="auto" w:fill="D9D9D9" w:themeFill="background1" w:themeFillShade="D9"/>
            <w:textDirection w:val="btLr"/>
          </w:tcPr>
          <w:p w14:paraId="76D39E9F" w14:textId="2625F4D5" w:rsidR="00BE01EF" w:rsidRPr="00F4489A" w:rsidRDefault="00BE01EF" w:rsidP="00EC5D89">
            <w:pPr>
              <w:jc w:val="center"/>
              <w:rPr>
                <w:rFonts w:ascii="Arial" w:hAnsi="Arial" w:cs="Arial"/>
                <w:sz w:val="20"/>
                <w:szCs w:val="20"/>
              </w:rPr>
            </w:pPr>
            <w:r w:rsidRPr="00F4489A">
              <w:rPr>
                <w:rFonts w:ascii="Arial" w:hAnsi="Arial" w:cs="Arial"/>
                <w:b/>
                <w:sz w:val="20"/>
                <w:szCs w:val="20"/>
              </w:rPr>
              <w:t>Desirable</w:t>
            </w:r>
          </w:p>
        </w:tc>
        <w:tc>
          <w:tcPr>
            <w:tcW w:w="2797" w:type="dxa"/>
          </w:tcPr>
          <w:p w14:paraId="69F7C7F1" w14:textId="77777777" w:rsidR="004F666F" w:rsidRPr="00F4489A" w:rsidRDefault="004F666F" w:rsidP="001732C6">
            <w:pPr>
              <w:numPr>
                <w:ilvl w:val="0"/>
                <w:numId w:val="15"/>
              </w:numPr>
              <w:spacing w:line="278" w:lineRule="auto"/>
              <w:rPr>
                <w:rFonts w:ascii="Arial" w:hAnsi="Arial" w:cs="Arial"/>
                <w:sz w:val="20"/>
                <w:szCs w:val="20"/>
              </w:rPr>
            </w:pPr>
            <w:r w:rsidRPr="00F4489A">
              <w:rPr>
                <w:rFonts w:ascii="Arial" w:hAnsi="Arial" w:cs="Arial"/>
                <w:sz w:val="20"/>
                <w:szCs w:val="20"/>
              </w:rPr>
              <w:t>MSc / PhD in Data Science, Analytics, Actuarial Science, or related discipline</w:t>
            </w:r>
          </w:p>
          <w:p w14:paraId="61BE5B7D" w14:textId="77777777" w:rsidR="004F666F" w:rsidRPr="00F4489A" w:rsidRDefault="004F666F" w:rsidP="001732C6">
            <w:pPr>
              <w:numPr>
                <w:ilvl w:val="0"/>
                <w:numId w:val="15"/>
              </w:numPr>
              <w:spacing w:line="278" w:lineRule="auto"/>
              <w:rPr>
                <w:rFonts w:ascii="Arial" w:hAnsi="Arial" w:cs="Arial"/>
                <w:sz w:val="20"/>
                <w:szCs w:val="20"/>
              </w:rPr>
            </w:pPr>
            <w:r w:rsidRPr="00F4489A">
              <w:rPr>
                <w:rFonts w:ascii="Arial" w:hAnsi="Arial" w:cs="Arial"/>
                <w:sz w:val="20"/>
                <w:szCs w:val="20"/>
              </w:rPr>
              <w:t>Actuarial or insurance qualifications (or progress towards)</w:t>
            </w:r>
          </w:p>
          <w:p w14:paraId="5FB9D8F6" w14:textId="77777777" w:rsidR="001D77B2" w:rsidRPr="00F4489A" w:rsidRDefault="001D77B2" w:rsidP="001732C6">
            <w:pPr>
              <w:numPr>
                <w:ilvl w:val="0"/>
                <w:numId w:val="15"/>
              </w:numPr>
              <w:spacing w:line="278" w:lineRule="auto"/>
              <w:rPr>
                <w:rFonts w:ascii="Arial" w:hAnsi="Arial" w:cs="Arial"/>
                <w:sz w:val="20"/>
                <w:szCs w:val="20"/>
              </w:rPr>
            </w:pPr>
            <w:r w:rsidRPr="00F4489A">
              <w:rPr>
                <w:rFonts w:ascii="Arial" w:hAnsi="Arial" w:cs="Arial"/>
                <w:sz w:val="20"/>
                <w:szCs w:val="20"/>
              </w:rPr>
              <w:t>Knowledge of clinical negligence indemnity</w:t>
            </w:r>
          </w:p>
          <w:p w14:paraId="0E61F9D3" w14:textId="77777777" w:rsidR="001D77B2" w:rsidRPr="00F4489A" w:rsidRDefault="001D77B2" w:rsidP="0001732C">
            <w:pPr>
              <w:spacing w:line="278" w:lineRule="auto"/>
              <w:ind w:left="720"/>
              <w:rPr>
                <w:rFonts w:ascii="Arial" w:hAnsi="Arial" w:cs="Arial"/>
                <w:sz w:val="20"/>
                <w:szCs w:val="20"/>
              </w:rPr>
            </w:pPr>
          </w:p>
          <w:p w14:paraId="2F7937A5" w14:textId="2B430BE6" w:rsidR="00BE01EF" w:rsidRPr="00F4489A" w:rsidRDefault="00BE01EF" w:rsidP="00BE01EF">
            <w:pPr>
              <w:rPr>
                <w:rFonts w:ascii="Arial" w:hAnsi="Arial" w:cs="Arial"/>
                <w:sz w:val="20"/>
                <w:szCs w:val="20"/>
              </w:rPr>
            </w:pPr>
          </w:p>
        </w:tc>
        <w:tc>
          <w:tcPr>
            <w:tcW w:w="2941" w:type="dxa"/>
          </w:tcPr>
          <w:p w14:paraId="5F37DA06" w14:textId="77777777" w:rsidR="00625333" w:rsidRPr="00F4489A" w:rsidRDefault="00625333" w:rsidP="001732C6">
            <w:pPr>
              <w:numPr>
                <w:ilvl w:val="0"/>
                <w:numId w:val="15"/>
              </w:numPr>
              <w:spacing w:line="278" w:lineRule="auto"/>
              <w:rPr>
                <w:rFonts w:ascii="Arial" w:hAnsi="Arial" w:cs="Arial"/>
                <w:sz w:val="20"/>
                <w:szCs w:val="20"/>
              </w:rPr>
            </w:pPr>
            <w:r w:rsidRPr="00F4489A">
              <w:rPr>
                <w:rFonts w:ascii="Arial" w:hAnsi="Arial" w:cs="Arial"/>
                <w:sz w:val="20"/>
                <w:szCs w:val="20"/>
              </w:rPr>
              <w:t>Understanding of model governance, version control (e.g. Git), and change management</w:t>
            </w:r>
          </w:p>
          <w:p w14:paraId="58586E69" w14:textId="77777777" w:rsidR="00BE01EF" w:rsidRPr="00F4489A" w:rsidRDefault="00BE01EF" w:rsidP="00BE01EF">
            <w:pPr>
              <w:rPr>
                <w:rFonts w:ascii="Arial" w:hAnsi="Arial" w:cs="Arial"/>
                <w:sz w:val="20"/>
                <w:szCs w:val="20"/>
              </w:rPr>
            </w:pPr>
          </w:p>
        </w:tc>
        <w:tc>
          <w:tcPr>
            <w:tcW w:w="2818" w:type="dxa"/>
          </w:tcPr>
          <w:p w14:paraId="5D7A3976" w14:textId="77777777" w:rsidR="00982113" w:rsidRPr="00F4489A" w:rsidRDefault="00982113" w:rsidP="001732C6">
            <w:pPr>
              <w:numPr>
                <w:ilvl w:val="0"/>
                <w:numId w:val="15"/>
              </w:numPr>
              <w:spacing w:line="278" w:lineRule="auto"/>
              <w:rPr>
                <w:rFonts w:ascii="Arial" w:hAnsi="Arial" w:cs="Arial"/>
                <w:sz w:val="20"/>
                <w:szCs w:val="20"/>
              </w:rPr>
            </w:pPr>
            <w:r w:rsidRPr="00F4489A">
              <w:rPr>
                <w:rFonts w:ascii="Arial" w:hAnsi="Arial" w:cs="Arial"/>
                <w:sz w:val="20"/>
                <w:szCs w:val="20"/>
              </w:rPr>
              <w:t>Experience with pricing software and visualisation tools (e.g. Power BI, Tableau)</w:t>
            </w:r>
          </w:p>
          <w:p w14:paraId="272A4707" w14:textId="77777777" w:rsidR="00982113" w:rsidRPr="00F4489A" w:rsidRDefault="00982113" w:rsidP="001732C6">
            <w:pPr>
              <w:numPr>
                <w:ilvl w:val="0"/>
                <w:numId w:val="15"/>
              </w:numPr>
              <w:spacing w:line="278" w:lineRule="auto"/>
              <w:rPr>
                <w:rFonts w:ascii="Arial" w:hAnsi="Arial" w:cs="Arial"/>
                <w:sz w:val="20"/>
                <w:szCs w:val="20"/>
              </w:rPr>
            </w:pPr>
            <w:r w:rsidRPr="00F4489A">
              <w:rPr>
                <w:rFonts w:ascii="Arial" w:hAnsi="Arial" w:cs="Arial"/>
                <w:sz w:val="20"/>
                <w:szCs w:val="20"/>
              </w:rPr>
              <w:t>Experience deploying or maintaining production analytical models</w:t>
            </w:r>
          </w:p>
          <w:p w14:paraId="1BF3AC97" w14:textId="77777777" w:rsidR="00982113" w:rsidRPr="00F4489A" w:rsidRDefault="00982113" w:rsidP="001732C6">
            <w:pPr>
              <w:numPr>
                <w:ilvl w:val="0"/>
                <w:numId w:val="15"/>
              </w:numPr>
              <w:spacing w:line="278" w:lineRule="auto"/>
              <w:rPr>
                <w:rFonts w:ascii="Arial" w:hAnsi="Arial" w:cs="Arial"/>
                <w:sz w:val="20"/>
                <w:szCs w:val="20"/>
              </w:rPr>
            </w:pPr>
            <w:r w:rsidRPr="00F4489A">
              <w:rPr>
                <w:rFonts w:ascii="Arial" w:hAnsi="Arial" w:cs="Arial"/>
                <w:sz w:val="20"/>
                <w:szCs w:val="20"/>
              </w:rPr>
              <w:t>Experience with decision trees, GBMs, random forests, clustering, or similar techniques</w:t>
            </w:r>
          </w:p>
          <w:p w14:paraId="6E30D68C" w14:textId="77777777" w:rsidR="00982113" w:rsidRPr="00F4489A" w:rsidRDefault="00982113" w:rsidP="001732C6">
            <w:pPr>
              <w:numPr>
                <w:ilvl w:val="0"/>
                <w:numId w:val="15"/>
              </w:numPr>
              <w:spacing w:line="278" w:lineRule="auto"/>
              <w:rPr>
                <w:rFonts w:ascii="Arial" w:hAnsi="Arial" w:cs="Arial"/>
                <w:sz w:val="20"/>
                <w:szCs w:val="20"/>
              </w:rPr>
            </w:pPr>
            <w:r w:rsidRPr="00F4489A">
              <w:rPr>
                <w:rFonts w:ascii="Arial" w:hAnsi="Arial" w:cs="Arial"/>
                <w:sz w:val="20"/>
                <w:szCs w:val="20"/>
              </w:rPr>
              <w:t xml:space="preserve">Experience working with pricing systems, </w:t>
            </w:r>
            <w:r w:rsidRPr="00F4489A">
              <w:rPr>
                <w:rFonts w:ascii="Arial" w:hAnsi="Arial" w:cs="Arial"/>
                <w:sz w:val="20"/>
                <w:szCs w:val="20"/>
              </w:rPr>
              <w:lastRenderedPageBreak/>
              <w:t>emulators, or analytical tools</w:t>
            </w:r>
          </w:p>
          <w:p w14:paraId="53909832" w14:textId="77777777" w:rsidR="00BE01EF" w:rsidRPr="00F4489A" w:rsidRDefault="00BE01EF" w:rsidP="00625333">
            <w:pPr>
              <w:spacing w:line="278" w:lineRule="auto"/>
              <w:ind w:left="720"/>
              <w:rPr>
                <w:rFonts w:ascii="Arial" w:hAnsi="Arial" w:cs="Arial"/>
                <w:sz w:val="20"/>
                <w:szCs w:val="20"/>
              </w:rPr>
            </w:pPr>
          </w:p>
        </w:tc>
      </w:tr>
    </w:tbl>
    <w:p w14:paraId="54E97789" w14:textId="77777777" w:rsidR="00BE01EF" w:rsidRPr="00F4489A" w:rsidRDefault="00BE01EF">
      <w:pPr>
        <w:rPr>
          <w:rFonts w:ascii="Arial" w:hAnsi="Arial" w:cs="Arial"/>
          <w:sz w:val="20"/>
          <w:szCs w:val="20"/>
        </w:rPr>
      </w:pPr>
    </w:p>
    <w:sectPr w:rsidR="00BE01EF" w:rsidRPr="00F448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1CEB" w14:textId="77777777" w:rsidR="0008046E" w:rsidRDefault="0008046E" w:rsidP="004020D9">
      <w:pPr>
        <w:spacing w:after="0" w:line="240" w:lineRule="auto"/>
      </w:pPr>
      <w:r>
        <w:separator/>
      </w:r>
    </w:p>
  </w:endnote>
  <w:endnote w:type="continuationSeparator" w:id="0">
    <w:p w14:paraId="1911A491" w14:textId="77777777" w:rsidR="0008046E" w:rsidRDefault="0008046E"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4AD3C4F1" w:rsidR="00EC5D89" w:rsidRPr="003A500C" w:rsidRDefault="003A500C" w:rsidP="003A500C">
    <w:pPr>
      <w:pStyle w:val="Footer"/>
      <w:jc w:val="center"/>
    </w:pPr>
    <w:fldSimple w:instr=" DOCPROPERTY bjFooterEven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6FA658D3" w:rsidR="00102654" w:rsidRPr="003A500C" w:rsidRDefault="003A500C" w:rsidP="003A500C">
    <w:pPr>
      <w:pStyle w:val="Footer"/>
      <w:jc w:val="center"/>
    </w:pPr>
    <w:fldSimple w:instr=" DOCPROPERTY bjFooterBoth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65E01ADE" w:rsidR="00EC5D89" w:rsidRPr="003A500C" w:rsidRDefault="003A500C" w:rsidP="003A500C">
    <w:pPr>
      <w:pStyle w:val="Footer"/>
      <w:jc w:val="center"/>
    </w:pPr>
    <w:fldSimple w:instr=" DOCPROPERTY bjFooterFirst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485C" w14:textId="77777777" w:rsidR="0008046E" w:rsidRDefault="0008046E" w:rsidP="004020D9">
      <w:pPr>
        <w:spacing w:after="0" w:line="240" w:lineRule="auto"/>
      </w:pPr>
      <w:r>
        <w:separator/>
      </w:r>
    </w:p>
  </w:footnote>
  <w:footnote w:type="continuationSeparator" w:id="0">
    <w:p w14:paraId="1DCBFA5E" w14:textId="77777777" w:rsidR="0008046E" w:rsidRDefault="0008046E"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E6C" w14:textId="77777777" w:rsidR="003A500C" w:rsidRDefault="003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AEA" w14:textId="77777777" w:rsidR="003A500C" w:rsidRDefault="003A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2E8"/>
    <w:multiLevelType w:val="multilevel"/>
    <w:tmpl w:val="1ED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1253"/>
    <w:multiLevelType w:val="multilevel"/>
    <w:tmpl w:val="6A5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44DF"/>
    <w:multiLevelType w:val="multilevel"/>
    <w:tmpl w:val="D0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81667"/>
    <w:multiLevelType w:val="multilevel"/>
    <w:tmpl w:val="2B24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80A8B"/>
    <w:multiLevelType w:val="multilevel"/>
    <w:tmpl w:val="710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B7750"/>
    <w:multiLevelType w:val="multilevel"/>
    <w:tmpl w:val="195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0473775"/>
    <w:multiLevelType w:val="multilevel"/>
    <w:tmpl w:val="8924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250F"/>
    <w:multiLevelType w:val="multilevel"/>
    <w:tmpl w:val="E5B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02744"/>
    <w:multiLevelType w:val="multilevel"/>
    <w:tmpl w:val="376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85F44"/>
    <w:multiLevelType w:val="multilevel"/>
    <w:tmpl w:val="0DA0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60C33"/>
    <w:multiLevelType w:val="multilevel"/>
    <w:tmpl w:val="47E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30670"/>
    <w:multiLevelType w:val="hybridMultilevel"/>
    <w:tmpl w:val="69185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683410"/>
    <w:multiLevelType w:val="multilevel"/>
    <w:tmpl w:val="02D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F7852"/>
    <w:multiLevelType w:val="multilevel"/>
    <w:tmpl w:val="52F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D7C7D"/>
    <w:multiLevelType w:val="multilevel"/>
    <w:tmpl w:val="2C86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261711">
    <w:abstractNumId w:val="12"/>
  </w:num>
  <w:num w:numId="2" w16cid:durableId="407076630">
    <w:abstractNumId w:val="6"/>
  </w:num>
  <w:num w:numId="3" w16cid:durableId="1157264403">
    <w:abstractNumId w:val="5"/>
  </w:num>
  <w:num w:numId="4" w16cid:durableId="1595747177">
    <w:abstractNumId w:val="7"/>
  </w:num>
  <w:num w:numId="5" w16cid:durableId="2010719153">
    <w:abstractNumId w:val="2"/>
  </w:num>
  <w:num w:numId="6" w16cid:durableId="2090350210">
    <w:abstractNumId w:val="14"/>
  </w:num>
  <w:num w:numId="7" w16cid:durableId="1130829241">
    <w:abstractNumId w:val="8"/>
  </w:num>
  <w:num w:numId="8" w16cid:durableId="1467118461">
    <w:abstractNumId w:val="0"/>
  </w:num>
  <w:num w:numId="9" w16cid:durableId="2121800967">
    <w:abstractNumId w:val="11"/>
  </w:num>
  <w:num w:numId="10" w16cid:durableId="17898246">
    <w:abstractNumId w:val="1"/>
  </w:num>
  <w:num w:numId="11" w16cid:durableId="1172141288">
    <w:abstractNumId w:val="15"/>
  </w:num>
  <w:num w:numId="12" w16cid:durableId="434635360">
    <w:abstractNumId w:val="4"/>
  </w:num>
  <w:num w:numId="13" w16cid:durableId="694617036">
    <w:abstractNumId w:val="3"/>
  </w:num>
  <w:num w:numId="14" w16cid:durableId="1523468698">
    <w:abstractNumId w:val="10"/>
  </w:num>
  <w:num w:numId="15" w16cid:durableId="1814760047">
    <w:abstractNumId w:val="9"/>
  </w:num>
  <w:num w:numId="16" w16cid:durableId="7983869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1732C"/>
    <w:rsid w:val="00032860"/>
    <w:rsid w:val="00044EDF"/>
    <w:rsid w:val="0008046E"/>
    <w:rsid w:val="00080CB2"/>
    <w:rsid w:val="00085B95"/>
    <w:rsid w:val="000D74A5"/>
    <w:rsid w:val="000F63B0"/>
    <w:rsid w:val="00102654"/>
    <w:rsid w:val="0010764D"/>
    <w:rsid w:val="001127BD"/>
    <w:rsid w:val="0011433B"/>
    <w:rsid w:val="001732C6"/>
    <w:rsid w:val="0018266D"/>
    <w:rsid w:val="001B21DD"/>
    <w:rsid w:val="001D6D6E"/>
    <w:rsid w:val="001D77B2"/>
    <w:rsid w:val="001E75E7"/>
    <w:rsid w:val="002305C7"/>
    <w:rsid w:val="0027215D"/>
    <w:rsid w:val="002C2C1E"/>
    <w:rsid w:val="002C7592"/>
    <w:rsid w:val="002E5A17"/>
    <w:rsid w:val="00300A0D"/>
    <w:rsid w:val="00380C0C"/>
    <w:rsid w:val="003A500C"/>
    <w:rsid w:val="003B5E1F"/>
    <w:rsid w:val="003C6FA7"/>
    <w:rsid w:val="004020D9"/>
    <w:rsid w:val="00453031"/>
    <w:rsid w:val="00453EEF"/>
    <w:rsid w:val="004706EC"/>
    <w:rsid w:val="00483FDE"/>
    <w:rsid w:val="00495C33"/>
    <w:rsid w:val="004A2703"/>
    <w:rsid w:val="004A2E24"/>
    <w:rsid w:val="004A54F4"/>
    <w:rsid w:val="004D2290"/>
    <w:rsid w:val="004E07FE"/>
    <w:rsid w:val="004E1929"/>
    <w:rsid w:val="004F666F"/>
    <w:rsid w:val="004F6ECF"/>
    <w:rsid w:val="005066C2"/>
    <w:rsid w:val="00515082"/>
    <w:rsid w:val="00562802"/>
    <w:rsid w:val="005E70A7"/>
    <w:rsid w:val="00612098"/>
    <w:rsid w:val="00621FE2"/>
    <w:rsid w:val="00625333"/>
    <w:rsid w:val="00682B78"/>
    <w:rsid w:val="006A3B11"/>
    <w:rsid w:val="006A5A55"/>
    <w:rsid w:val="006C519F"/>
    <w:rsid w:val="006D5EDD"/>
    <w:rsid w:val="00706D18"/>
    <w:rsid w:val="00716235"/>
    <w:rsid w:val="00742F4A"/>
    <w:rsid w:val="007511E9"/>
    <w:rsid w:val="00754E29"/>
    <w:rsid w:val="00761467"/>
    <w:rsid w:val="007D3717"/>
    <w:rsid w:val="008329CB"/>
    <w:rsid w:val="00861A9C"/>
    <w:rsid w:val="00865D1F"/>
    <w:rsid w:val="008B7394"/>
    <w:rsid w:val="008D11F5"/>
    <w:rsid w:val="008D1E4B"/>
    <w:rsid w:val="00901DF4"/>
    <w:rsid w:val="009153C2"/>
    <w:rsid w:val="00935953"/>
    <w:rsid w:val="00982113"/>
    <w:rsid w:val="009A2771"/>
    <w:rsid w:val="009D2504"/>
    <w:rsid w:val="009D78E6"/>
    <w:rsid w:val="009E0E2B"/>
    <w:rsid w:val="009E45FE"/>
    <w:rsid w:val="00A67A90"/>
    <w:rsid w:val="00A740B2"/>
    <w:rsid w:val="00AA2B37"/>
    <w:rsid w:val="00AC3600"/>
    <w:rsid w:val="00AF7968"/>
    <w:rsid w:val="00B008E6"/>
    <w:rsid w:val="00B92BD7"/>
    <w:rsid w:val="00B963D8"/>
    <w:rsid w:val="00BA1566"/>
    <w:rsid w:val="00BE01EF"/>
    <w:rsid w:val="00C27C9A"/>
    <w:rsid w:val="00C332DA"/>
    <w:rsid w:val="00C50A41"/>
    <w:rsid w:val="00C64931"/>
    <w:rsid w:val="00CB5AD5"/>
    <w:rsid w:val="00D5552A"/>
    <w:rsid w:val="00D7541A"/>
    <w:rsid w:val="00D92070"/>
    <w:rsid w:val="00DB4110"/>
    <w:rsid w:val="00DE2196"/>
    <w:rsid w:val="00E7462C"/>
    <w:rsid w:val="00E9275A"/>
    <w:rsid w:val="00EB7FB7"/>
    <w:rsid w:val="00EC5D89"/>
    <w:rsid w:val="00ED35E7"/>
    <w:rsid w:val="00EF3604"/>
    <w:rsid w:val="00F0215A"/>
    <w:rsid w:val="00F21818"/>
    <w:rsid w:val="00F4489A"/>
    <w:rsid w:val="00F60980"/>
    <w:rsid w:val="00F840A5"/>
    <w:rsid w:val="00F94D53"/>
    <w:rsid w:val="00FA5620"/>
    <w:rsid w:val="00FA6074"/>
    <w:rsid w:val="00FE77E3"/>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Hyperlink">
    <w:name w:val="Hyperlink"/>
    <w:basedOn w:val="DefaultParagraphFont"/>
    <w:uiPriority w:val="99"/>
    <w:unhideWhenUsed/>
    <w:rsid w:val="00483FDE"/>
    <w:rPr>
      <w:color w:val="0563C1"/>
      <w:u w:val="single"/>
    </w:rPr>
  </w:style>
  <w:style w:type="paragraph" w:styleId="BodyText">
    <w:name w:val="Body Text"/>
    <w:basedOn w:val="Normal"/>
    <w:link w:val="BodyTextChar"/>
    <w:uiPriority w:val="1"/>
    <w:qFormat/>
    <w:rsid w:val="00483FD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83FDE"/>
    <w:rPr>
      <w:rFonts w:ascii="Arial" w:eastAsia="Arial" w:hAnsi="Arial" w:cs="Arial"/>
      <w:lang w:val="en-US"/>
    </w:rPr>
  </w:style>
  <w:style w:type="character" w:styleId="UnresolvedMention">
    <w:name w:val="Unresolved Mention"/>
    <w:basedOn w:val="DefaultParagraphFont"/>
    <w:uiPriority w:val="99"/>
    <w:semiHidden/>
    <w:unhideWhenUsed/>
    <w:rsid w:val="002E5A17"/>
    <w:rPr>
      <w:color w:val="605E5C"/>
      <w:shd w:val="clear" w:color="auto" w:fill="E1DFDD"/>
    </w:rPr>
  </w:style>
  <w:style w:type="character" w:styleId="CommentReference">
    <w:name w:val="annotation reference"/>
    <w:basedOn w:val="DefaultParagraphFont"/>
    <w:uiPriority w:val="99"/>
    <w:semiHidden/>
    <w:unhideWhenUsed/>
    <w:rsid w:val="0018266D"/>
    <w:rPr>
      <w:sz w:val="16"/>
      <w:szCs w:val="16"/>
    </w:rPr>
  </w:style>
  <w:style w:type="paragraph" w:styleId="CommentText">
    <w:name w:val="annotation text"/>
    <w:basedOn w:val="Normal"/>
    <w:link w:val="CommentTextChar"/>
    <w:uiPriority w:val="99"/>
    <w:unhideWhenUsed/>
    <w:rsid w:val="0018266D"/>
    <w:pPr>
      <w:spacing w:line="240" w:lineRule="auto"/>
    </w:pPr>
    <w:rPr>
      <w:sz w:val="20"/>
      <w:szCs w:val="20"/>
    </w:rPr>
  </w:style>
  <w:style w:type="character" w:customStyle="1" w:styleId="CommentTextChar">
    <w:name w:val="Comment Text Char"/>
    <w:basedOn w:val="DefaultParagraphFont"/>
    <w:link w:val="CommentText"/>
    <w:uiPriority w:val="99"/>
    <w:rsid w:val="0018266D"/>
    <w:rPr>
      <w:sz w:val="20"/>
      <w:szCs w:val="20"/>
    </w:rPr>
  </w:style>
  <w:style w:type="paragraph" w:styleId="CommentSubject">
    <w:name w:val="annotation subject"/>
    <w:basedOn w:val="CommentText"/>
    <w:next w:val="CommentText"/>
    <w:link w:val="CommentSubjectChar"/>
    <w:uiPriority w:val="99"/>
    <w:semiHidden/>
    <w:unhideWhenUsed/>
    <w:rsid w:val="0018266D"/>
    <w:rPr>
      <w:b/>
      <w:bCs/>
    </w:rPr>
  </w:style>
  <w:style w:type="character" w:customStyle="1" w:styleId="CommentSubjectChar">
    <w:name w:val="Comment Subject Char"/>
    <w:basedOn w:val="CommentTextChar"/>
    <w:link w:val="CommentSubject"/>
    <w:uiPriority w:val="99"/>
    <w:semiHidden/>
    <w:rsid w:val="0018266D"/>
    <w:rPr>
      <w:b/>
      <w:bCs/>
      <w:sz w:val="20"/>
      <w:szCs w:val="20"/>
    </w:rPr>
  </w:style>
  <w:style w:type="character" w:customStyle="1" w:styleId="ListParagraphChar">
    <w:name w:val="List Paragraph Char"/>
    <w:basedOn w:val="DefaultParagraphFont"/>
    <w:link w:val="ListParagraph"/>
    <w:uiPriority w:val="34"/>
    <w:rsid w:val="00562802"/>
  </w:style>
  <w:style w:type="paragraph" w:styleId="NormalWeb">
    <w:name w:val="Normal (Web)"/>
    <w:basedOn w:val="Normal"/>
    <w:uiPriority w:val="99"/>
    <w:semiHidden/>
    <w:unhideWhenUsed/>
    <w:rsid w:val="001732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306B72"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306B72"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306B72"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306B72"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306B72"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306B72"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4761E"/>
    <w:rsid w:val="00080CB2"/>
    <w:rsid w:val="00120F5F"/>
    <w:rsid w:val="00306B72"/>
    <w:rsid w:val="003C6FA7"/>
    <w:rsid w:val="004706EC"/>
    <w:rsid w:val="004B22D4"/>
    <w:rsid w:val="007D3717"/>
    <w:rsid w:val="00DB4110"/>
    <w:rsid w:val="00DE2196"/>
    <w:rsid w:val="00FE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B0C5AE17-B719-4CAD-A280-8124165539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Beth Fisher</cp:lastModifiedBy>
  <cp:revision>4</cp:revision>
  <dcterms:created xsi:type="dcterms:W3CDTF">2026-02-19T14:34:00Z</dcterms:created>
  <dcterms:modified xsi:type="dcterms:W3CDTF">2026-02-23T10:20:00Z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58714ba0-f53f-41e6-b3e6-5154ce56e7a2</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MSIP_Label_401a61c9-4983-4ada-8b3f-be98d11e98cc_Enabled">
    <vt:lpwstr>true</vt:lpwstr>
  </property>
  <property fmtid="{D5CDD505-2E9C-101B-9397-08002B2CF9AE}" pid="12" name="MSIP_Label_401a61c9-4983-4ada-8b3f-be98d11e98cc_SetDate">
    <vt:lpwstr>2026-02-09T09:43:04Z</vt:lpwstr>
  </property>
  <property fmtid="{D5CDD505-2E9C-101B-9397-08002B2CF9AE}" pid="13" name="MSIP_Label_401a61c9-4983-4ada-8b3f-be98d11e98cc_Method">
    <vt:lpwstr>Privileged</vt:lpwstr>
  </property>
  <property fmtid="{D5CDD505-2E9C-101B-9397-08002B2CF9AE}" pid="14" name="MSIP_Label_401a61c9-4983-4ada-8b3f-be98d11e98cc_Name">
    <vt:lpwstr>Internal</vt:lpwstr>
  </property>
  <property fmtid="{D5CDD505-2E9C-101B-9397-08002B2CF9AE}" pid="15" name="MSIP_Label_401a61c9-4983-4ada-8b3f-be98d11e98cc_SiteId">
    <vt:lpwstr>60e0ab8b-8c8d-4eef-b9c2-f9cb65535c28</vt:lpwstr>
  </property>
  <property fmtid="{D5CDD505-2E9C-101B-9397-08002B2CF9AE}" pid="16" name="MSIP_Label_401a61c9-4983-4ada-8b3f-be98d11e98cc_ActionId">
    <vt:lpwstr>01130a77-7f44-453d-929f-7ad1c400084b</vt:lpwstr>
  </property>
  <property fmtid="{D5CDD505-2E9C-101B-9397-08002B2CF9AE}" pid="17" name="MSIP_Label_401a61c9-4983-4ada-8b3f-be98d11e98cc_ContentBits">
    <vt:lpwstr>0</vt:lpwstr>
  </property>
  <property fmtid="{D5CDD505-2E9C-101B-9397-08002B2CF9AE}" pid="18" name="MSIP_Label_401a61c9-4983-4ada-8b3f-be98d11e98cc_Tag">
    <vt:lpwstr>10, 0, 1, 1</vt:lpwstr>
  </property>
</Properties>
</file>