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E938E1" w14:paraId="5087A249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01FC552" w14:textId="77777777" w:rsidR="00F5319A" w:rsidRPr="00E938E1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3DE1C33D" w14:textId="38DE1828" w:rsidR="00F5319A" w:rsidRPr="00E938E1" w:rsidRDefault="00F16F0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Resource </w:t>
            </w:r>
            <w:r w:rsidR="008667AE" w:rsidRPr="00E938E1">
              <w:rPr>
                <w:rFonts w:ascii="Arial" w:hAnsi="Arial" w:cs="Arial"/>
                <w:sz w:val="20"/>
                <w:szCs w:val="20"/>
              </w:rPr>
              <w:t>Capacity Planner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90BDCF2" w14:textId="77777777" w:rsidR="00F5319A" w:rsidRPr="00E938E1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7727E4F6" w14:textId="63FF932F" w:rsidR="00F5319A" w:rsidRPr="00E938E1" w:rsidRDefault="00CA14F3" w:rsidP="00844936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Operations Manager – Support Services</w:t>
            </w:r>
          </w:p>
        </w:tc>
      </w:tr>
      <w:tr w:rsidR="00F5319A" w:rsidRPr="00E938E1" w14:paraId="064EEB8F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E699A2A" w14:textId="77777777" w:rsidR="00F5319A" w:rsidRPr="00E938E1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44C40AF" w14:textId="77777777" w:rsidR="00F5319A" w:rsidRPr="00E938E1" w:rsidRDefault="005066FF" w:rsidP="00450A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C5A4420" w14:textId="77777777" w:rsidR="00F5319A" w:rsidRPr="00E938E1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E938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DF47590" w14:textId="77777777" w:rsidR="00F5319A" w:rsidRPr="00E938E1" w:rsidRDefault="00BA194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Direct Sales and Service</w:t>
            </w:r>
          </w:p>
        </w:tc>
      </w:tr>
      <w:tr w:rsidR="00F5319A" w:rsidRPr="00E938E1" w14:paraId="680FB20E" w14:textId="77777777" w:rsidTr="00450A4D">
        <w:trPr>
          <w:trHeight w:val="368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1CAF830D" w14:textId="77777777" w:rsidR="00F5319A" w:rsidRPr="00E938E1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44342BF" w14:textId="105D0728" w:rsidR="00F5319A" w:rsidRPr="00E938E1" w:rsidRDefault="00BA1949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No</w:t>
            </w:r>
            <w:r w:rsidR="00450A4D" w:rsidRPr="00E938E1">
              <w:rPr>
                <w:rFonts w:ascii="Arial" w:hAnsi="Arial" w:cs="Arial"/>
                <w:sz w:val="20"/>
                <w:szCs w:val="20"/>
              </w:rPr>
              <w:t xml:space="preserve"> direct reports</w:t>
            </w:r>
          </w:p>
          <w:p w14:paraId="736455A0" w14:textId="77777777" w:rsidR="00F5319A" w:rsidRPr="00E938E1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B35DCD3" w14:textId="77777777" w:rsidR="00F5319A" w:rsidRPr="00E938E1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0C6574AE" w14:textId="3673209E" w:rsidR="00F5319A" w:rsidRPr="00E938E1" w:rsidRDefault="004A2880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MPS</w:t>
            </w:r>
          </w:p>
          <w:p w14:paraId="2B39EB96" w14:textId="77777777" w:rsidR="00B75089" w:rsidRPr="00E938E1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E938E1" w14:paraId="6592F549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D2EB7C0" w14:textId="77777777" w:rsidR="00F5319A" w:rsidRPr="00E938E1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44C1379" w14:textId="77777777" w:rsidR="00F5319A" w:rsidRPr="00E938E1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593D0D0" w14:textId="77777777" w:rsidR="00F5319A" w:rsidRPr="00E938E1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2BE9CD3" w14:textId="5DC86E41" w:rsidR="00F5319A" w:rsidRPr="00E938E1" w:rsidRDefault="00450A4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E938E1" w14:paraId="09E0CCD9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1D8D8EC" w14:textId="77777777" w:rsidR="00F5319A" w:rsidRPr="00E938E1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706B9B1" w14:textId="77777777" w:rsidR="00F5319A" w:rsidRPr="00E938E1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80E7A9E" w14:textId="77777777" w:rsidR="00F5319A" w:rsidRPr="00E938E1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E938E1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E82C588" w14:textId="64F1D28F" w:rsidR="00F5319A" w:rsidRPr="00E938E1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38E1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E938E1" w14:paraId="2D7B6695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101F5D87" w14:textId="77777777" w:rsidR="007E7CA1" w:rsidRPr="00E938E1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1E53BC77" w14:textId="12810EB9" w:rsidR="007E7CA1" w:rsidRPr="00E938E1" w:rsidRDefault="00BC64E9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D71F275" w14:textId="77777777" w:rsidR="007E7CA1" w:rsidRPr="00E938E1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76F2215" w14:textId="64DE2F19" w:rsidR="007E7CA1" w:rsidRPr="00E938E1" w:rsidRDefault="00450A4D" w:rsidP="00450A4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Business and Operational Services </w:t>
            </w:r>
          </w:p>
        </w:tc>
      </w:tr>
    </w:tbl>
    <w:p w14:paraId="721B2BA1" w14:textId="77777777" w:rsidR="00F5319A" w:rsidRPr="00E938E1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E938E1" w14:paraId="15FADB3E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765C6F6" w14:textId="77777777" w:rsidR="009E22D0" w:rsidRPr="00E938E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E8E6E" w14:textId="77777777" w:rsidR="009E22D0" w:rsidRPr="00E938E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E938E1" w14:paraId="6961C1CA" w14:textId="77777777" w:rsidTr="009E22D0">
        <w:trPr>
          <w:trHeight w:val="693"/>
        </w:trPr>
        <w:tc>
          <w:tcPr>
            <w:tcW w:w="10509" w:type="dxa"/>
          </w:tcPr>
          <w:p w14:paraId="14179FFF" w14:textId="5DAA4A57" w:rsidR="009E22D0" w:rsidRPr="00E938E1" w:rsidRDefault="00D043F3" w:rsidP="008C25DB">
            <w:pPr>
              <w:pStyle w:val="ListParagraph"/>
              <w:autoSpaceDE w:val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The Direct Sales and Service </w:t>
            </w:r>
            <w:r w:rsidR="00450A4D" w:rsidRPr="00E938E1">
              <w:rPr>
                <w:rFonts w:ascii="Arial" w:hAnsi="Arial" w:cs="Arial"/>
                <w:sz w:val="20"/>
                <w:szCs w:val="20"/>
              </w:rPr>
              <w:t>d</w:t>
            </w:r>
            <w:r w:rsidR="002B30E4" w:rsidRPr="00E938E1">
              <w:rPr>
                <w:rFonts w:ascii="Arial" w:hAnsi="Arial" w:cs="Arial"/>
                <w:sz w:val="20"/>
                <w:szCs w:val="20"/>
              </w:rPr>
              <w:t>epartment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07D" w:rsidRPr="00E938E1">
              <w:rPr>
                <w:rFonts w:ascii="Arial" w:hAnsi="Arial" w:cs="Arial"/>
                <w:sz w:val="20"/>
                <w:szCs w:val="20"/>
              </w:rPr>
              <w:t>provides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 excellent contact centre services for members which is trusted</w:t>
            </w:r>
            <w:r w:rsidR="001659BE" w:rsidRPr="00E938E1">
              <w:rPr>
                <w:rFonts w:ascii="Arial" w:hAnsi="Arial" w:cs="Arial"/>
                <w:sz w:val="20"/>
                <w:szCs w:val="20"/>
              </w:rPr>
              <w:t>,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 valued</w:t>
            </w:r>
            <w:r w:rsidR="0077307D" w:rsidRPr="00E938E1">
              <w:rPr>
                <w:rFonts w:ascii="Arial" w:hAnsi="Arial" w:cs="Arial"/>
                <w:sz w:val="20"/>
                <w:szCs w:val="20"/>
              </w:rPr>
              <w:t xml:space="preserve"> and provides fair treatment and outcomes</w:t>
            </w:r>
            <w:r w:rsidRPr="00E938E1">
              <w:rPr>
                <w:rFonts w:ascii="Arial" w:hAnsi="Arial" w:cs="Arial"/>
                <w:sz w:val="20"/>
                <w:szCs w:val="20"/>
              </w:rPr>
              <w:t>. The purpose of th</w:t>
            </w:r>
            <w:r w:rsidR="001071BB" w:rsidRPr="00E938E1">
              <w:rPr>
                <w:rFonts w:ascii="Arial" w:hAnsi="Arial" w:cs="Arial"/>
                <w:sz w:val="20"/>
                <w:szCs w:val="20"/>
              </w:rPr>
              <w:t>is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 role</w:t>
            </w:r>
            <w:r w:rsidR="001659BE" w:rsidRPr="00E938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5DB" w:rsidRPr="00E938E1">
              <w:rPr>
                <w:rFonts w:ascii="Arial" w:hAnsi="Arial" w:cs="Arial"/>
                <w:sz w:val="20"/>
                <w:szCs w:val="20"/>
              </w:rPr>
              <w:t>i</w:t>
            </w:r>
            <w:r w:rsidR="00F56199" w:rsidRPr="00E938E1">
              <w:rPr>
                <w:rFonts w:ascii="Arial" w:hAnsi="Arial" w:cs="Arial"/>
                <w:sz w:val="20"/>
                <w:szCs w:val="20"/>
              </w:rPr>
              <w:t xml:space="preserve">s to </w:t>
            </w:r>
            <w:r w:rsidR="00B91723" w:rsidRPr="00E938E1">
              <w:rPr>
                <w:rFonts w:ascii="Arial" w:hAnsi="Arial" w:cs="Arial"/>
                <w:sz w:val="20"/>
                <w:szCs w:val="20"/>
              </w:rPr>
              <w:t xml:space="preserve">understand the requirements needed to deliver business objectives and ensure correct resource is planned to handle Member demand. </w:t>
            </w:r>
          </w:p>
        </w:tc>
      </w:tr>
    </w:tbl>
    <w:p w14:paraId="66545F83" w14:textId="77777777" w:rsidR="009E22D0" w:rsidRPr="00E938E1" w:rsidRDefault="009E22D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E938E1" w14:paraId="43C5C290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4DE10B77" w14:textId="77777777" w:rsidR="009E22D0" w:rsidRPr="00E938E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1BD21" w14:textId="77777777" w:rsidR="009E22D0" w:rsidRPr="00E938E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E938E1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E938E1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05418038" w14:textId="77777777" w:rsidR="009E22D0" w:rsidRPr="00E938E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0A708" w14:textId="77777777" w:rsidR="009E22D0" w:rsidRPr="00E938E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1174AAB6" w14:textId="77777777" w:rsidR="009E22D0" w:rsidRPr="00E938E1" w:rsidRDefault="009E22D0" w:rsidP="00D043F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E938E1" w14:paraId="5D457A37" w14:textId="77777777" w:rsidTr="009E22D0">
        <w:trPr>
          <w:trHeight w:val="578"/>
        </w:trPr>
        <w:tc>
          <w:tcPr>
            <w:tcW w:w="6346" w:type="dxa"/>
          </w:tcPr>
          <w:p w14:paraId="73EB9061" w14:textId="77777777" w:rsidR="00F516B3" w:rsidRPr="00E938E1" w:rsidRDefault="00AD34A1" w:rsidP="00F516B3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938E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7F3F71E8" w14:textId="4016754E" w:rsidR="00D056A0" w:rsidRPr="00E938E1" w:rsidRDefault="000533B1" w:rsidP="000533B1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C</w:t>
            </w:r>
            <w:r w:rsidR="00D056A0" w:rsidRPr="00E938E1">
              <w:rPr>
                <w:rFonts w:ascii="Arial" w:hAnsi="Arial" w:cs="Arial"/>
                <w:sz w:val="20"/>
                <w:szCs w:val="20"/>
              </w:rPr>
              <w:t xml:space="preserve">reate </w:t>
            </w:r>
            <w:r w:rsidRPr="00E938E1">
              <w:rPr>
                <w:rFonts w:ascii="Arial" w:hAnsi="Arial" w:cs="Arial"/>
                <w:sz w:val="20"/>
                <w:szCs w:val="20"/>
              </w:rPr>
              <w:t>new or</w:t>
            </w:r>
            <w:r w:rsidR="00D056A0" w:rsidRPr="00E938E1">
              <w:rPr>
                <w:rFonts w:ascii="Arial" w:hAnsi="Arial" w:cs="Arial"/>
                <w:sz w:val="20"/>
                <w:szCs w:val="20"/>
              </w:rPr>
              <w:t xml:space="preserve"> improve existing resource capacity plans</w:t>
            </w:r>
            <w:r w:rsidRPr="00E938E1">
              <w:rPr>
                <w:rFonts w:ascii="Arial" w:hAnsi="Arial" w:cs="Arial"/>
                <w:sz w:val="20"/>
                <w:szCs w:val="20"/>
              </w:rPr>
              <w:t>; understanding Member contact demand and work outputs, to accurately measure</w:t>
            </w:r>
            <w:r w:rsidR="00B72271" w:rsidRPr="00E938E1">
              <w:rPr>
                <w:rFonts w:ascii="Arial" w:hAnsi="Arial" w:cs="Arial"/>
                <w:sz w:val="20"/>
                <w:szCs w:val="20"/>
              </w:rPr>
              <w:t xml:space="preserve"> and forecast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 resource requirement. </w:t>
            </w:r>
          </w:p>
          <w:p w14:paraId="389F01BC" w14:textId="3900CEFD" w:rsidR="00DE2035" w:rsidRPr="00E938E1" w:rsidRDefault="00DE2035" w:rsidP="000533B1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Understand SLA’s of tasks, timings to complete activities, email response rate and average time to handle calls so effective plans can be created. </w:t>
            </w:r>
          </w:p>
          <w:p w14:paraId="4475DF69" w14:textId="6DC193A8" w:rsidR="00F53326" w:rsidRPr="00E938E1" w:rsidRDefault="009274CB" w:rsidP="00F53326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 xml:space="preserve">Ensure all capacity plans are maintained and accurate, </w:t>
            </w:r>
            <w:r w:rsidR="000334C0" w:rsidRPr="00E938E1">
              <w:rPr>
                <w:rFonts w:ascii="Arial" w:eastAsia="Calibri" w:hAnsi="Arial" w:cs="Arial"/>
                <w:sz w:val="20"/>
                <w:szCs w:val="20"/>
              </w:rPr>
              <w:t xml:space="preserve">using historic data and actual performances </w:t>
            </w:r>
            <w:r w:rsidRPr="00E938E1">
              <w:rPr>
                <w:rFonts w:ascii="Arial" w:eastAsia="Calibri" w:hAnsi="Arial" w:cs="Arial"/>
                <w:sz w:val="20"/>
                <w:szCs w:val="20"/>
              </w:rPr>
              <w:t>throughout the year</w:t>
            </w:r>
            <w:r w:rsidR="000334C0" w:rsidRPr="00E938E1">
              <w:rPr>
                <w:rFonts w:ascii="Arial" w:eastAsia="Calibri" w:hAnsi="Arial" w:cs="Arial"/>
                <w:sz w:val="20"/>
                <w:szCs w:val="20"/>
              </w:rPr>
              <w:t>, to provide effective forecasting</w:t>
            </w:r>
          </w:p>
          <w:p w14:paraId="37A48F06" w14:textId="4001DC46" w:rsidR="000533B1" w:rsidRPr="00E938E1" w:rsidRDefault="000533B1" w:rsidP="000533B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F0FA874" w14:textId="77777777" w:rsidR="001C2B56" w:rsidRPr="00E938E1" w:rsidRDefault="001C2B56" w:rsidP="001C2B5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815154F" w14:textId="77777777" w:rsidR="00DF0140" w:rsidRPr="00E938E1" w:rsidRDefault="002B2AE7" w:rsidP="002B2A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Performance vs Operational KPI’s and SLA’s </w:t>
            </w:r>
          </w:p>
          <w:p w14:paraId="56BE4AB9" w14:textId="5B434CD4" w:rsidR="002B2AE7" w:rsidRPr="00E938E1" w:rsidRDefault="002B2AE7" w:rsidP="002B2A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Successful creation of capacity plans for MPS </w:t>
            </w:r>
          </w:p>
        </w:tc>
      </w:tr>
      <w:tr w:rsidR="009E22D0" w:rsidRPr="00E938E1" w14:paraId="3031AE2F" w14:textId="77777777" w:rsidTr="009E22D0">
        <w:trPr>
          <w:trHeight w:val="578"/>
        </w:trPr>
        <w:tc>
          <w:tcPr>
            <w:tcW w:w="6346" w:type="dxa"/>
          </w:tcPr>
          <w:p w14:paraId="0D04B94C" w14:textId="77777777" w:rsidR="009E22D0" w:rsidRPr="00E938E1" w:rsidRDefault="009E22D0" w:rsidP="003F79D8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938E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06548454" w14:textId="63049BF5" w:rsidR="00463AEC" w:rsidRPr="00E938E1" w:rsidRDefault="00DC7A5B" w:rsidP="00463AE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938E1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Ensure capacity plans remain accurate</w:t>
            </w:r>
            <w:r w:rsidR="00B72271" w:rsidRPr="00E938E1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, regularly reviewing </w:t>
            </w:r>
            <w:r w:rsidR="003D2707" w:rsidRPr="00E938E1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the data and requirements, to prevent unnecessary resourcing. </w:t>
            </w:r>
          </w:p>
          <w:p w14:paraId="42890113" w14:textId="2710AA5C" w:rsidR="003F79D8" w:rsidRPr="00E938E1" w:rsidRDefault="003F79D8" w:rsidP="000533B1">
            <w:pPr>
              <w:spacing w:after="0" w:line="240" w:lineRule="auto"/>
              <w:ind w:left="72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41" w:type="dxa"/>
          </w:tcPr>
          <w:p w14:paraId="1CFB1716" w14:textId="77777777" w:rsidR="001C2B56" w:rsidRPr="00E938E1" w:rsidRDefault="001C2B56" w:rsidP="001C2B5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D49B857" w14:textId="226BE401" w:rsidR="009E22D0" w:rsidRPr="00E938E1" w:rsidRDefault="00D15181" w:rsidP="004A288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Performance vs Budget spend</w:t>
            </w:r>
          </w:p>
        </w:tc>
      </w:tr>
      <w:tr w:rsidR="009E22D0" w:rsidRPr="00E938E1" w14:paraId="64CBE028" w14:textId="77777777" w:rsidTr="009E22D0">
        <w:trPr>
          <w:trHeight w:val="578"/>
        </w:trPr>
        <w:tc>
          <w:tcPr>
            <w:tcW w:w="6346" w:type="dxa"/>
          </w:tcPr>
          <w:p w14:paraId="563D8EEC" w14:textId="77777777" w:rsidR="009E22D0" w:rsidRPr="00E938E1" w:rsidRDefault="009E22D0" w:rsidP="003F79D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3BAAC238" w14:textId="77777777" w:rsidR="00D15181" w:rsidRPr="00E938E1" w:rsidRDefault="00F93774" w:rsidP="00D15181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Cs/>
                <w:sz w:val="20"/>
                <w:szCs w:val="20"/>
              </w:rPr>
              <w:t xml:space="preserve">Analyse Member contact performance, historic contact data and planned Member activity, to ensure effective forecasting takes place and correct resource is planned to handle Member demand. </w:t>
            </w:r>
          </w:p>
          <w:p w14:paraId="78202B30" w14:textId="7842F480" w:rsidR="00F93774" w:rsidRPr="00E938E1" w:rsidRDefault="00F93774" w:rsidP="00F9377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0525D883" w14:textId="77777777" w:rsidR="001C2B56" w:rsidRPr="00E938E1" w:rsidRDefault="001C2B56" w:rsidP="001C2B5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700A0A4" w14:textId="77777777" w:rsidR="009E22D0" w:rsidRPr="00E938E1" w:rsidRDefault="00D15181" w:rsidP="00D1518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Performance vs Member SAT scores</w:t>
            </w:r>
          </w:p>
          <w:p w14:paraId="17EFC7AC" w14:textId="3A53C34D" w:rsidR="00D15181" w:rsidRPr="00E938E1" w:rsidRDefault="00D15181" w:rsidP="00D1518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Performance vs PCA and SLA metrics</w:t>
            </w:r>
          </w:p>
        </w:tc>
      </w:tr>
      <w:tr w:rsidR="009E22D0" w:rsidRPr="00E938E1" w14:paraId="08ACA27D" w14:textId="77777777" w:rsidTr="009E22D0">
        <w:trPr>
          <w:trHeight w:val="591"/>
        </w:trPr>
        <w:tc>
          <w:tcPr>
            <w:tcW w:w="6346" w:type="dxa"/>
          </w:tcPr>
          <w:p w14:paraId="7C635417" w14:textId="77777777" w:rsidR="009E22D0" w:rsidRPr="00E938E1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3E52F1C4" w14:textId="1D61168B" w:rsidR="00AB5348" w:rsidRPr="00E938E1" w:rsidRDefault="0091646F" w:rsidP="00182109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Regularly review shrinkage requirements, ensuring the right shrinkage entitlement is captured and planned; meaning accurate f</w:t>
            </w:r>
            <w:r w:rsidR="00F96F82" w:rsidRPr="00E938E1">
              <w:rPr>
                <w:rFonts w:ascii="Arial" w:hAnsi="Arial" w:cs="Arial"/>
                <w:sz w:val="20"/>
                <w:szCs w:val="20"/>
              </w:rPr>
              <w:t>orecasting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 of resource can take pla</w:t>
            </w:r>
            <w:r w:rsidR="00182109" w:rsidRPr="00E938E1">
              <w:rPr>
                <w:rFonts w:ascii="Arial" w:hAnsi="Arial" w:cs="Arial"/>
                <w:sz w:val="20"/>
                <w:szCs w:val="20"/>
              </w:rPr>
              <w:t xml:space="preserve">ce. </w:t>
            </w:r>
          </w:p>
          <w:p w14:paraId="30AAA0F3" w14:textId="724A74D4" w:rsidR="00F96F82" w:rsidRPr="00E938E1" w:rsidRDefault="00F96F82" w:rsidP="00182109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Capacity plan holiday entitlement, understanding total requirement throughout the holiday year and providing insight to the schedulers of what holiday entitlement can be used at one given time. </w:t>
            </w:r>
          </w:p>
          <w:p w14:paraId="27587245" w14:textId="77777777" w:rsidR="00D15181" w:rsidRPr="00E938E1" w:rsidRDefault="00D15181" w:rsidP="00D15181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0DAD3C9" w14:textId="7E0A53AE" w:rsidR="003F79D8" w:rsidRPr="00E938E1" w:rsidRDefault="003F79D8" w:rsidP="003F79D8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5FB9C69" w14:textId="77777777" w:rsidR="001C2B56" w:rsidRPr="00E938E1" w:rsidRDefault="001C2B56" w:rsidP="001C2B56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8B965B" w14:textId="589518FF" w:rsidR="009E22D0" w:rsidRPr="00E938E1" w:rsidRDefault="002D7323" w:rsidP="004A2880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Shrinkage performance vs capacity plan and forecast</w:t>
            </w:r>
          </w:p>
          <w:p w14:paraId="3398D192" w14:textId="343E2E86" w:rsidR="00D15181" w:rsidRPr="00E938E1" w:rsidRDefault="00D15181" w:rsidP="00D15181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E938E1" w14:paraId="10B36350" w14:textId="77777777" w:rsidTr="009E22D0">
        <w:trPr>
          <w:trHeight w:val="591"/>
        </w:trPr>
        <w:tc>
          <w:tcPr>
            <w:tcW w:w="6346" w:type="dxa"/>
          </w:tcPr>
          <w:p w14:paraId="0D57E5B1" w14:textId="77777777" w:rsidR="00E31268" w:rsidRPr="00E938E1" w:rsidRDefault="009E22D0" w:rsidP="003F79D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7FFABD86" w14:textId="77777777" w:rsidR="003F79D8" w:rsidRPr="00E938E1" w:rsidRDefault="00B72271" w:rsidP="004108B2">
            <w:pPr>
              <w:pStyle w:val="ListParagraph"/>
              <w:numPr>
                <w:ilvl w:val="0"/>
                <w:numId w:val="21"/>
              </w:numPr>
              <w:spacing w:before="0" w:beforeAutospacing="0" w:after="160" w:afterAutospacing="0" w:line="259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Have</w:t>
            </w:r>
            <w:r w:rsidR="00A56839" w:rsidRPr="00E938E1">
              <w:rPr>
                <w:rFonts w:ascii="Arial" w:hAnsi="Arial" w:cs="Arial"/>
                <w:sz w:val="20"/>
                <w:szCs w:val="20"/>
              </w:rPr>
              <w:t xml:space="preserve"> knowledge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 of future business change and activity</w:t>
            </w:r>
            <w:r w:rsidR="00BB0CBF" w:rsidRPr="00E938E1">
              <w:rPr>
                <w:rFonts w:ascii="Arial" w:hAnsi="Arial" w:cs="Arial"/>
                <w:sz w:val="20"/>
                <w:szCs w:val="20"/>
              </w:rPr>
              <w:t>, to</w:t>
            </w:r>
            <w:r w:rsidR="00A56839" w:rsidRPr="00E938E1">
              <w:rPr>
                <w:rFonts w:ascii="Arial" w:hAnsi="Arial" w:cs="Arial"/>
                <w:sz w:val="20"/>
                <w:szCs w:val="20"/>
              </w:rPr>
              <w:t xml:space="preserve"> provide insight </w:t>
            </w:r>
            <w:r w:rsidR="00BB0CBF" w:rsidRPr="00E938E1">
              <w:rPr>
                <w:rFonts w:ascii="Arial" w:hAnsi="Arial" w:cs="Arial"/>
                <w:sz w:val="20"/>
                <w:szCs w:val="20"/>
              </w:rPr>
              <w:t xml:space="preserve">to what resource is required to deliver such change or activity. 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A7CB0C" w14:textId="3A93D15B" w:rsidR="00BB0CBF" w:rsidRPr="00E938E1" w:rsidRDefault="00BB0CBF" w:rsidP="004108B2">
            <w:pPr>
              <w:pStyle w:val="ListParagraph"/>
              <w:numPr>
                <w:ilvl w:val="0"/>
                <w:numId w:val="21"/>
              </w:numPr>
              <w:spacing w:before="0" w:beforeAutospacing="0" w:after="160" w:afterAutospacing="0" w:line="259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Ensure correct resource is planned to ensure no impacts to business processes or Member journeys </w:t>
            </w:r>
          </w:p>
        </w:tc>
        <w:tc>
          <w:tcPr>
            <w:tcW w:w="4141" w:type="dxa"/>
          </w:tcPr>
          <w:p w14:paraId="33253219" w14:textId="77777777" w:rsidR="001C2B56" w:rsidRPr="00E938E1" w:rsidRDefault="001C2B56" w:rsidP="001C2B5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86383D7" w14:textId="77777777" w:rsidR="00B677E7" w:rsidRPr="00E938E1" w:rsidRDefault="00B677E7" w:rsidP="0046125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Performance vs KPMG audit </w:t>
            </w:r>
          </w:p>
          <w:p w14:paraId="6F5EDC10" w14:textId="77777777" w:rsidR="00884A4F" w:rsidRPr="00E938E1" w:rsidRDefault="00B677E7" w:rsidP="0046125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Process review dates</w:t>
            </w:r>
            <w:r w:rsidR="00DF0140" w:rsidRPr="00E938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5E8F7C" w14:textId="59688B84" w:rsidR="00BB0CBF" w:rsidRPr="00E938E1" w:rsidRDefault="00BB0CBF" w:rsidP="0046125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Change and Marketing calendar dates</w:t>
            </w:r>
          </w:p>
        </w:tc>
      </w:tr>
    </w:tbl>
    <w:p w14:paraId="4CF5B0AE" w14:textId="5EC18D97" w:rsidR="00FB4711" w:rsidRPr="00E938E1" w:rsidRDefault="00FB471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E938E1" w14:paraId="62F98A08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0887DB08" w14:textId="77777777" w:rsidR="009E22D0" w:rsidRPr="00E938E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A70E2" w14:textId="77777777" w:rsidR="009E22D0" w:rsidRPr="00E938E1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E938E1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E938E1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E938E1" w14:paraId="456B1093" w14:textId="77777777" w:rsidTr="00FF16B8">
        <w:trPr>
          <w:trHeight w:val="693"/>
        </w:trPr>
        <w:tc>
          <w:tcPr>
            <w:tcW w:w="10490" w:type="dxa"/>
          </w:tcPr>
          <w:p w14:paraId="129AA2FA" w14:textId="66095731" w:rsidR="00F6347A" w:rsidRPr="00E938E1" w:rsidRDefault="00357A60" w:rsidP="00F6347A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Coordinate with Resource Scheduling, to ensure delivery of the capacity plans by effectively scheduling weekly resource available based on forecasted demand. </w:t>
            </w:r>
          </w:p>
          <w:p w14:paraId="0F62DE2D" w14:textId="1301B6EF" w:rsidR="00F53326" w:rsidRPr="00E938E1" w:rsidRDefault="00F53326" w:rsidP="00F6347A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Regularly review scheduling performance and planned activity with the resource scheduling team, to ensure resource is utilised effectively. </w:t>
            </w:r>
          </w:p>
          <w:p w14:paraId="44C242A4" w14:textId="6DA93973" w:rsidR="00357A60" w:rsidRPr="00E938E1" w:rsidRDefault="00357A60" w:rsidP="004A2880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Provide insight to senior management to support performance conversations, where actual performance differs from capacity planned performance. </w:t>
            </w:r>
          </w:p>
          <w:p w14:paraId="0576812F" w14:textId="4409DC07" w:rsidR="00357A60" w:rsidRPr="00E938E1" w:rsidRDefault="00F6347A" w:rsidP="00357A60">
            <w:pPr>
              <w:numPr>
                <w:ilvl w:val="0"/>
                <w:numId w:val="21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Provide insight to senior management to support conversations regarding all internal and external recruitment, ensuring</w:t>
            </w:r>
            <w:r w:rsidR="00F53326" w:rsidRPr="00E938E1">
              <w:rPr>
                <w:rFonts w:ascii="Arial" w:hAnsi="Arial" w:cs="Arial"/>
                <w:sz w:val="20"/>
                <w:szCs w:val="20"/>
              </w:rPr>
              <w:t xml:space="preserve"> resource remains to plan and within budget. </w:t>
            </w:r>
          </w:p>
          <w:p w14:paraId="79E28203" w14:textId="494AE125" w:rsidR="0091646F" w:rsidRPr="00E938E1" w:rsidRDefault="00B73DAA" w:rsidP="00357A60">
            <w:pPr>
              <w:numPr>
                <w:ilvl w:val="0"/>
                <w:numId w:val="21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E</w:t>
            </w:r>
            <w:r w:rsidR="002A2958" w:rsidRPr="00E938E1">
              <w:rPr>
                <w:rFonts w:ascii="Arial" w:hAnsi="Arial" w:cs="Arial"/>
                <w:sz w:val="20"/>
                <w:szCs w:val="20"/>
              </w:rPr>
              <w:t>nsure shrinkage activity is delivered to plan</w:t>
            </w:r>
            <w:r w:rsidRPr="00E938E1">
              <w:rPr>
                <w:rFonts w:ascii="Arial" w:hAnsi="Arial" w:cs="Arial"/>
                <w:sz w:val="20"/>
                <w:szCs w:val="20"/>
              </w:rPr>
              <w:t xml:space="preserve">, by providing regular insight to senior management and identifying areas of concern to support performance conversations.  </w:t>
            </w:r>
          </w:p>
          <w:p w14:paraId="58AC11CC" w14:textId="407E0AD4" w:rsidR="00F53326" w:rsidRPr="00E938E1" w:rsidRDefault="00F53326" w:rsidP="00357A60">
            <w:pPr>
              <w:numPr>
                <w:ilvl w:val="0"/>
                <w:numId w:val="21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Build effective relationships with key stakeholders to ensure full understanding of business requirements can be establish</w:t>
            </w:r>
          </w:p>
          <w:p w14:paraId="2C25227B" w14:textId="4810CBE8" w:rsidR="00A344E9" w:rsidRPr="00E938E1" w:rsidRDefault="00B91723" w:rsidP="00357A60">
            <w:pPr>
              <w:numPr>
                <w:ilvl w:val="0"/>
                <w:numId w:val="21"/>
              </w:num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Work with reporting analysts to create reports to measure and track the performance of capacity plans. </w:t>
            </w:r>
          </w:p>
          <w:p w14:paraId="5B682548" w14:textId="6C5252EB" w:rsidR="00C40F7B" w:rsidRPr="00E938E1" w:rsidRDefault="00C40F7B" w:rsidP="00C40F7B">
            <w:pPr>
              <w:suppressAutoHyphens/>
              <w:autoSpaceDN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7B3F1" w14:textId="77777777" w:rsidR="009E22D0" w:rsidRPr="00E938E1" w:rsidRDefault="009E22D0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E938E1" w14:paraId="6281691C" w14:textId="77777777" w:rsidTr="002537E9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206EE48B" w14:textId="77777777" w:rsidR="005542D1" w:rsidRPr="00E938E1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2609E" w14:textId="77777777" w:rsidR="005542D1" w:rsidRPr="00E938E1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E938E1" w14:paraId="2116BCDD" w14:textId="77777777" w:rsidTr="002537E9">
        <w:trPr>
          <w:trHeight w:val="693"/>
        </w:trPr>
        <w:tc>
          <w:tcPr>
            <w:tcW w:w="10490" w:type="dxa"/>
          </w:tcPr>
          <w:p w14:paraId="3309FC09" w14:textId="7DE881B8" w:rsidR="00D15181" w:rsidRPr="00E938E1" w:rsidRDefault="00461259" w:rsidP="004612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None</w:t>
            </w:r>
            <w:r w:rsidR="0052262D" w:rsidRPr="00E938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0582ABA" w14:textId="77777777" w:rsidR="005542D1" w:rsidRPr="00E938E1" w:rsidRDefault="005542D1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E938E1" w14:paraId="4D2D61F1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516BDD23" w14:textId="77777777" w:rsidR="0056188D" w:rsidRPr="00E938E1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F7111" w14:textId="77777777" w:rsidR="0056188D" w:rsidRPr="00E938E1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57169E0" w14:textId="77777777" w:rsidR="0056188D" w:rsidRPr="00E938E1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F781E7" w14:textId="77777777" w:rsidR="0056188D" w:rsidRPr="00E938E1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443F585B" w14:textId="77777777" w:rsidR="0056188D" w:rsidRPr="00E938E1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E938E1" w14:paraId="3A8AF0CB" w14:textId="77777777" w:rsidTr="00FF16B8">
        <w:trPr>
          <w:trHeight w:val="211"/>
        </w:trPr>
        <w:tc>
          <w:tcPr>
            <w:tcW w:w="6008" w:type="dxa"/>
          </w:tcPr>
          <w:p w14:paraId="61132DF2" w14:textId="77777777" w:rsidR="0056188D" w:rsidRPr="00E938E1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7D67D1F" w14:textId="254E0CA2" w:rsidR="0056188D" w:rsidRPr="00E938E1" w:rsidRDefault="00450A4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E938E1" w14:paraId="043A6BB5" w14:textId="77777777" w:rsidTr="00FF16B8">
        <w:trPr>
          <w:trHeight w:val="211"/>
        </w:trPr>
        <w:tc>
          <w:tcPr>
            <w:tcW w:w="6008" w:type="dxa"/>
          </w:tcPr>
          <w:p w14:paraId="7F44701D" w14:textId="012A36F9" w:rsidR="00450A4D" w:rsidRPr="00E938E1" w:rsidRDefault="008254C4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7F8DF69A" w14:textId="2A72FDE0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E938E1" w14:paraId="44749ECC" w14:textId="77777777" w:rsidTr="00FF16B8">
        <w:trPr>
          <w:trHeight w:val="211"/>
        </w:trPr>
        <w:tc>
          <w:tcPr>
            <w:tcW w:w="6008" w:type="dxa"/>
          </w:tcPr>
          <w:p w14:paraId="5042B8AC" w14:textId="77777777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AB387FC" w14:textId="58D78B51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E938E1" w14:paraId="1772C395" w14:textId="77777777" w:rsidTr="00FF16B8">
        <w:trPr>
          <w:trHeight w:val="211"/>
        </w:trPr>
        <w:tc>
          <w:tcPr>
            <w:tcW w:w="6008" w:type="dxa"/>
          </w:tcPr>
          <w:p w14:paraId="48FCC031" w14:textId="77777777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2365E79A" w14:textId="444B8391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E938E1" w14:paraId="7916D624" w14:textId="77777777" w:rsidTr="00FF16B8">
        <w:trPr>
          <w:trHeight w:val="211"/>
        </w:trPr>
        <w:tc>
          <w:tcPr>
            <w:tcW w:w="6008" w:type="dxa"/>
          </w:tcPr>
          <w:p w14:paraId="28C5ED4B" w14:textId="77777777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4C2D18A2" w14:textId="37247C0B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50A4D" w:rsidRPr="00E938E1" w14:paraId="02AA183E" w14:textId="77777777" w:rsidTr="00FF16B8">
        <w:trPr>
          <w:trHeight w:val="211"/>
        </w:trPr>
        <w:tc>
          <w:tcPr>
            <w:tcW w:w="6008" w:type="dxa"/>
          </w:tcPr>
          <w:p w14:paraId="7C22145E" w14:textId="77777777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42744C90" w14:textId="56E971FD" w:rsidR="00450A4D" w:rsidRPr="00E938E1" w:rsidRDefault="00450A4D" w:rsidP="00450A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E938E1" w14:paraId="6B481DF4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270B387" w14:textId="77777777" w:rsidR="00E40AC5" w:rsidRPr="00E938E1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48A413F1" w14:textId="77777777" w:rsidR="00E40AC5" w:rsidRPr="00E938E1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99DE37C" w14:textId="77777777" w:rsidR="00E40AC5" w:rsidRPr="00E938E1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92CEB35" w14:textId="77777777" w:rsidR="00E40AC5" w:rsidRPr="00E938E1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E938E1" w14:paraId="44D8688A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8B20157" w14:textId="77777777" w:rsidR="00E40AC5" w:rsidRPr="00E938E1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483" w:type="dxa"/>
          </w:tcPr>
          <w:p w14:paraId="54C9D1E9" w14:textId="77777777" w:rsidR="00653D73" w:rsidRPr="00E938E1" w:rsidRDefault="00653D73" w:rsidP="00653D73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>Educated to GCSE level or equivalent experience</w:t>
            </w:r>
          </w:p>
          <w:p w14:paraId="0A60F05B" w14:textId="77777777" w:rsidR="00837EB5" w:rsidRPr="00E938E1" w:rsidRDefault="00256084" w:rsidP="00256084">
            <w:pPr>
              <w:pStyle w:val="ListParagraph"/>
              <w:numPr>
                <w:ilvl w:val="0"/>
                <w:numId w:val="5"/>
              </w:numPr>
              <w:spacing w:after="0"/>
              <w:ind w:left="311" w:hanging="311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>Knowledge of the Erlang calculator</w:t>
            </w:r>
          </w:p>
          <w:p w14:paraId="0AF60D39" w14:textId="45F0E0E6" w:rsidR="00152D85" w:rsidRPr="00E938E1" w:rsidRDefault="00152D85" w:rsidP="00256084">
            <w:pPr>
              <w:pStyle w:val="ListParagraph"/>
              <w:numPr>
                <w:ilvl w:val="0"/>
                <w:numId w:val="5"/>
              </w:numPr>
              <w:spacing w:after="0"/>
              <w:ind w:left="311" w:hanging="311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>Knowledge of Microsoft Office tools – Knowledge of Microsoft Excel is essential</w:t>
            </w:r>
          </w:p>
        </w:tc>
        <w:tc>
          <w:tcPr>
            <w:tcW w:w="3119" w:type="dxa"/>
          </w:tcPr>
          <w:p w14:paraId="1B728A01" w14:textId="6F2CA300" w:rsidR="00256084" w:rsidRPr="00E938E1" w:rsidRDefault="00152D85" w:rsidP="00256084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Cs/>
                <w:sz w:val="20"/>
                <w:szCs w:val="20"/>
              </w:rPr>
              <w:t xml:space="preserve">Ability to </w:t>
            </w:r>
            <w:proofErr w:type="spellStart"/>
            <w:r w:rsidRPr="00E938E1">
              <w:rPr>
                <w:rFonts w:ascii="Arial" w:hAnsi="Arial" w:cs="Arial"/>
                <w:bCs/>
                <w:sz w:val="20"/>
                <w:szCs w:val="20"/>
              </w:rPr>
              <w:t>self motivate</w:t>
            </w:r>
            <w:proofErr w:type="spellEnd"/>
            <w:r w:rsidRPr="00E938E1">
              <w:rPr>
                <w:rFonts w:ascii="Arial" w:hAnsi="Arial" w:cs="Arial"/>
                <w:bCs/>
                <w:sz w:val="20"/>
                <w:szCs w:val="20"/>
              </w:rPr>
              <w:t xml:space="preserve"> and work autonomously</w:t>
            </w:r>
          </w:p>
          <w:p w14:paraId="602B3B7A" w14:textId="77777777" w:rsidR="00256084" w:rsidRPr="00E938E1" w:rsidRDefault="00152D85" w:rsidP="00256084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to communicate effectively and build strong working relationships with key stakeholders </w:t>
            </w:r>
          </w:p>
          <w:p w14:paraId="7D61B465" w14:textId="77777777" w:rsidR="00152D85" w:rsidRPr="00E938E1" w:rsidRDefault="00152D85" w:rsidP="00256084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Holistic way of thinking and working, to accommodate all possibilities when forecasting resource requirement. </w:t>
            </w:r>
          </w:p>
          <w:p w14:paraId="76C1C101" w14:textId="7A076A47" w:rsidR="00B241B4" w:rsidRPr="00E938E1" w:rsidRDefault="00B241B4" w:rsidP="00256084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bCs/>
                <w:sz w:val="20"/>
                <w:szCs w:val="20"/>
              </w:rPr>
              <w:t>Strong organisation and planning skills</w:t>
            </w:r>
          </w:p>
        </w:tc>
        <w:tc>
          <w:tcPr>
            <w:tcW w:w="4394" w:type="dxa"/>
          </w:tcPr>
          <w:p w14:paraId="3FB5545B" w14:textId="08147315" w:rsidR="00256084" w:rsidRPr="00E938E1" w:rsidRDefault="00256084" w:rsidP="00653D73">
            <w:pPr>
              <w:pStyle w:val="ListParagraph"/>
              <w:numPr>
                <w:ilvl w:val="0"/>
                <w:numId w:val="5"/>
              </w:numPr>
              <w:spacing w:after="0"/>
              <w:ind w:left="171" w:hanging="171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 xml:space="preserve">Proven experience of the following is essential: </w:t>
            </w:r>
          </w:p>
          <w:p w14:paraId="138FA128" w14:textId="44FF51A0" w:rsidR="00256084" w:rsidRPr="00E938E1" w:rsidRDefault="00256084" w:rsidP="0025608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 xml:space="preserve">Planning and resourcing a call or contact centre </w:t>
            </w:r>
          </w:p>
          <w:p w14:paraId="11EB4251" w14:textId="4B9991A6" w:rsidR="00256084" w:rsidRPr="00E938E1" w:rsidRDefault="00256084" w:rsidP="0025608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 xml:space="preserve">Creating capacity plans to clearly identify resource requirements </w:t>
            </w:r>
          </w:p>
          <w:p w14:paraId="5D757B86" w14:textId="1C92A480" w:rsidR="00256084" w:rsidRPr="00E938E1" w:rsidRDefault="00152D85" w:rsidP="0025608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 xml:space="preserve">Ability to capture and understand key business requirements </w:t>
            </w:r>
          </w:p>
          <w:p w14:paraId="40BD778D" w14:textId="5D7E021D" w:rsidR="00152D85" w:rsidRPr="00E938E1" w:rsidRDefault="00152D85" w:rsidP="0025608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>Working towards and delivering agreed service levels and business KPI’s</w:t>
            </w:r>
          </w:p>
          <w:p w14:paraId="46240C98" w14:textId="3DE51CF1" w:rsidR="00152D85" w:rsidRPr="00E938E1" w:rsidRDefault="00152D85" w:rsidP="00256084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>Ability to apply a range of insight techniques to drive business improvement</w:t>
            </w:r>
          </w:p>
          <w:p w14:paraId="0537B2F1" w14:textId="6A1FFF81" w:rsidR="00A30712" w:rsidRPr="00E938E1" w:rsidRDefault="00A30712" w:rsidP="00152D85">
            <w:pPr>
              <w:pStyle w:val="ListParagraph"/>
              <w:spacing w:after="0"/>
              <w:ind w:left="17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16B8" w:rsidRPr="00E938E1" w14:paraId="507CED6B" w14:textId="77777777" w:rsidTr="00D043F3">
        <w:trPr>
          <w:cantSplit/>
          <w:trHeight w:val="115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D2F4520" w14:textId="01891207" w:rsidR="00E40AC5" w:rsidRPr="00E938E1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38E1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597BBFD4" w14:textId="6FB60CAF" w:rsidR="005B685E" w:rsidRPr="00E938E1" w:rsidRDefault="00C40F7B" w:rsidP="00A30712">
            <w:pPr>
              <w:pStyle w:val="NoSpacing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E938E1">
              <w:rPr>
                <w:rFonts w:ascii="Arial" w:hAnsi="Arial" w:cs="Arial"/>
                <w:sz w:val="20"/>
                <w:szCs w:val="20"/>
              </w:rPr>
              <w:t xml:space="preserve">Knowledge of Mitel, </w:t>
            </w:r>
            <w:proofErr w:type="spellStart"/>
            <w:r w:rsidRPr="00E938E1">
              <w:rPr>
                <w:rFonts w:ascii="Arial" w:hAnsi="Arial" w:cs="Arial"/>
                <w:sz w:val="20"/>
                <w:szCs w:val="20"/>
              </w:rPr>
              <w:t>Teleopti</w:t>
            </w:r>
            <w:proofErr w:type="spellEnd"/>
            <w:r w:rsidRPr="00E938E1">
              <w:rPr>
                <w:rFonts w:ascii="Arial" w:hAnsi="Arial" w:cs="Arial"/>
                <w:sz w:val="20"/>
                <w:szCs w:val="20"/>
              </w:rPr>
              <w:t xml:space="preserve"> and Ignite systems</w:t>
            </w:r>
          </w:p>
        </w:tc>
        <w:tc>
          <w:tcPr>
            <w:tcW w:w="3119" w:type="dxa"/>
          </w:tcPr>
          <w:p w14:paraId="7B7B14BC" w14:textId="44F0A807" w:rsidR="00E40AC5" w:rsidRPr="00E938E1" w:rsidRDefault="00E40AC5" w:rsidP="00152D85">
            <w:pPr>
              <w:suppressAutoHyphens/>
              <w:autoSpaceDE w:val="0"/>
              <w:autoSpaceDN w:val="0"/>
              <w:spacing w:after="0" w:line="254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761B671" w14:textId="19942018" w:rsidR="00E40AC5" w:rsidRPr="00E938E1" w:rsidRDefault="00A30712" w:rsidP="00650ECA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>Experience scheduling within FCA rules and regulations</w:t>
            </w:r>
          </w:p>
          <w:p w14:paraId="62A00AB0" w14:textId="53590AB5" w:rsidR="00152D85" w:rsidRPr="00E938E1" w:rsidRDefault="00152D85" w:rsidP="00650ECA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938E1">
              <w:rPr>
                <w:rFonts w:ascii="Arial" w:eastAsia="Calibri" w:hAnsi="Arial" w:cs="Arial"/>
                <w:sz w:val="20"/>
                <w:szCs w:val="20"/>
              </w:rPr>
              <w:t xml:space="preserve">Experience working with </w:t>
            </w:r>
            <w:proofErr w:type="gramStart"/>
            <w:r w:rsidRPr="00E938E1">
              <w:rPr>
                <w:rFonts w:ascii="Arial" w:eastAsia="Calibri" w:hAnsi="Arial" w:cs="Arial"/>
                <w:sz w:val="20"/>
                <w:szCs w:val="20"/>
              </w:rPr>
              <w:t>cloud based</w:t>
            </w:r>
            <w:proofErr w:type="gramEnd"/>
            <w:r w:rsidRPr="00E938E1">
              <w:rPr>
                <w:rFonts w:ascii="Arial" w:eastAsia="Calibri" w:hAnsi="Arial" w:cs="Arial"/>
                <w:sz w:val="20"/>
                <w:szCs w:val="20"/>
              </w:rPr>
              <w:t xml:space="preserve"> Telephony platforms </w:t>
            </w:r>
          </w:p>
          <w:p w14:paraId="3BD75FA4" w14:textId="36117928" w:rsidR="00C40F7B" w:rsidRPr="00E938E1" w:rsidRDefault="00C40F7B" w:rsidP="00152D85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AD0FB7" w14:textId="77777777" w:rsidR="0056188D" w:rsidRPr="00E938E1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E938E1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5EF7E" w14:textId="77777777" w:rsidR="004204C1" w:rsidRDefault="004204C1" w:rsidP="009E22D0">
      <w:pPr>
        <w:spacing w:after="0" w:line="240" w:lineRule="auto"/>
      </w:pPr>
      <w:r>
        <w:separator/>
      </w:r>
    </w:p>
  </w:endnote>
  <w:endnote w:type="continuationSeparator" w:id="0">
    <w:p w14:paraId="78201307" w14:textId="77777777" w:rsidR="004204C1" w:rsidRDefault="004204C1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B17A1" w14:textId="77777777" w:rsidR="004204C1" w:rsidRDefault="004204C1" w:rsidP="009E22D0">
      <w:pPr>
        <w:spacing w:after="0" w:line="240" w:lineRule="auto"/>
      </w:pPr>
      <w:r>
        <w:separator/>
      </w:r>
    </w:p>
  </w:footnote>
  <w:footnote w:type="continuationSeparator" w:id="0">
    <w:p w14:paraId="51FC2C1B" w14:textId="77777777" w:rsidR="004204C1" w:rsidRDefault="004204C1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ABD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BF4A8EF" wp14:editId="2401C09A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03B9"/>
    <w:multiLevelType w:val="hybridMultilevel"/>
    <w:tmpl w:val="7596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C2977C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  <w:color w:val="000000"/>
        <w:sz w:val="21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216B"/>
    <w:multiLevelType w:val="hybridMultilevel"/>
    <w:tmpl w:val="8242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015A"/>
    <w:multiLevelType w:val="hybridMultilevel"/>
    <w:tmpl w:val="22E2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40127E"/>
    <w:multiLevelType w:val="hybridMultilevel"/>
    <w:tmpl w:val="3794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28E8"/>
    <w:multiLevelType w:val="singleLevel"/>
    <w:tmpl w:val="95A688B2"/>
    <w:lvl w:ilvl="0">
      <w:start w:val="1"/>
      <w:numFmt w:val="bullet"/>
      <w:pStyle w:val="SingleBullet"/>
      <w:lvlText w:val=""/>
      <w:lvlJc w:val="left"/>
      <w:pPr>
        <w:tabs>
          <w:tab w:val="num" w:pos="360"/>
        </w:tabs>
        <w:ind w:left="360" w:hanging="360"/>
      </w:pPr>
      <w:rPr>
        <w:rFonts w:ascii="Typographic Ext" w:hAnsi="Typographic Ext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652700"/>
    <w:multiLevelType w:val="hybridMultilevel"/>
    <w:tmpl w:val="7858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D341A"/>
    <w:multiLevelType w:val="hybridMultilevel"/>
    <w:tmpl w:val="BFC69994"/>
    <w:lvl w:ilvl="0" w:tplc="6FA4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802"/>
    <w:multiLevelType w:val="hybridMultilevel"/>
    <w:tmpl w:val="B388F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CD30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270FD"/>
    <w:multiLevelType w:val="hybridMultilevel"/>
    <w:tmpl w:val="C3F88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F2216"/>
    <w:multiLevelType w:val="hybridMultilevel"/>
    <w:tmpl w:val="D5F4A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B15D8"/>
    <w:multiLevelType w:val="hybridMultilevel"/>
    <w:tmpl w:val="72B85600"/>
    <w:lvl w:ilvl="0" w:tplc="5BD8E178">
      <w:numFmt w:val="bullet"/>
      <w:lvlText w:val="-"/>
      <w:lvlJc w:val="left"/>
      <w:pPr>
        <w:ind w:left="531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2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E2896"/>
    <w:multiLevelType w:val="hybridMultilevel"/>
    <w:tmpl w:val="89ECC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B687B"/>
    <w:multiLevelType w:val="hybridMultilevel"/>
    <w:tmpl w:val="6200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C4A17"/>
    <w:multiLevelType w:val="hybridMultilevel"/>
    <w:tmpl w:val="1888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95643"/>
    <w:multiLevelType w:val="hybridMultilevel"/>
    <w:tmpl w:val="098238C6"/>
    <w:lvl w:ilvl="0" w:tplc="CB889D14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color w:val="000000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611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E330D"/>
    <w:multiLevelType w:val="hybridMultilevel"/>
    <w:tmpl w:val="0AF4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77C6A"/>
    <w:multiLevelType w:val="hybridMultilevel"/>
    <w:tmpl w:val="9142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81D63"/>
    <w:multiLevelType w:val="hybridMultilevel"/>
    <w:tmpl w:val="17CE91D4"/>
    <w:lvl w:ilvl="0" w:tplc="1C900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AA1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63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9E8D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C5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6A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06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06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665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9"/>
  </w:num>
  <w:num w:numId="5">
    <w:abstractNumId w:val="12"/>
  </w:num>
  <w:num w:numId="6">
    <w:abstractNumId w:val="5"/>
  </w:num>
  <w:num w:numId="7">
    <w:abstractNumId w:val="15"/>
  </w:num>
  <w:num w:numId="8">
    <w:abstractNumId w:val="27"/>
  </w:num>
  <w:num w:numId="9">
    <w:abstractNumId w:val="29"/>
  </w:num>
  <w:num w:numId="10">
    <w:abstractNumId w:val="20"/>
  </w:num>
  <w:num w:numId="11">
    <w:abstractNumId w:val="7"/>
  </w:num>
  <w:num w:numId="12">
    <w:abstractNumId w:val="22"/>
  </w:num>
  <w:num w:numId="13">
    <w:abstractNumId w:val="16"/>
  </w:num>
  <w:num w:numId="14">
    <w:abstractNumId w:val="17"/>
  </w:num>
  <w:num w:numId="15">
    <w:abstractNumId w:val="14"/>
  </w:num>
  <w:num w:numId="16">
    <w:abstractNumId w:val="4"/>
  </w:num>
  <w:num w:numId="17">
    <w:abstractNumId w:val="8"/>
  </w:num>
  <w:num w:numId="18">
    <w:abstractNumId w:val="23"/>
  </w:num>
  <w:num w:numId="19">
    <w:abstractNumId w:val="11"/>
  </w:num>
  <w:num w:numId="20">
    <w:abstractNumId w:val="26"/>
  </w:num>
  <w:num w:numId="21">
    <w:abstractNumId w:val="32"/>
  </w:num>
  <w:num w:numId="22">
    <w:abstractNumId w:val="31"/>
  </w:num>
  <w:num w:numId="23">
    <w:abstractNumId w:val="30"/>
  </w:num>
  <w:num w:numId="24">
    <w:abstractNumId w:val="33"/>
  </w:num>
  <w:num w:numId="25">
    <w:abstractNumId w:val="24"/>
  </w:num>
  <w:num w:numId="26">
    <w:abstractNumId w:val="6"/>
  </w:num>
  <w:num w:numId="27">
    <w:abstractNumId w:val="28"/>
  </w:num>
  <w:num w:numId="28">
    <w:abstractNumId w:val="0"/>
  </w:num>
  <w:num w:numId="29">
    <w:abstractNumId w:val="2"/>
  </w:num>
  <w:num w:numId="30">
    <w:abstractNumId w:val="1"/>
  </w:num>
  <w:num w:numId="31">
    <w:abstractNumId w:val="34"/>
  </w:num>
  <w:num w:numId="32">
    <w:abstractNumId w:val="25"/>
  </w:num>
  <w:num w:numId="33">
    <w:abstractNumId w:val="18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23700"/>
    <w:rsid w:val="000334C0"/>
    <w:rsid w:val="00036BF5"/>
    <w:rsid w:val="00042C90"/>
    <w:rsid w:val="000533B1"/>
    <w:rsid w:val="00082F60"/>
    <w:rsid w:val="00093FF3"/>
    <w:rsid w:val="00097190"/>
    <w:rsid w:val="000C403D"/>
    <w:rsid w:val="000E4361"/>
    <w:rsid w:val="001071BB"/>
    <w:rsid w:val="00136959"/>
    <w:rsid w:val="00152D85"/>
    <w:rsid w:val="001659BE"/>
    <w:rsid w:val="00175D7E"/>
    <w:rsid w:val="00180F67"/>
    <w:rsid w:val="00182109"/>
    <w:rsid w:val="001B5F3D"/>
    <w:rsid w:val="001C2B56"/>
    <w:rsid w:val="001C67E1"/>
    <w:rsid w:val="0020276C"/>
    <w:rsid w:val="002537E9"/>
    <w:rsid w:val="00256084"/>
    <w:rsid w:val="0027736C"/>
    <w:rsid w:val="00287606"/>
    <w:rsid w:val="002A2958"/>
    <w:rsid w:val="002B2AE7"/>
    <w:rsid w:val="002B30E4"/>
    <w:rsid w:val="002B557F"/>
    <w:rsid w:val="002B6DE9"/>
    <w:rsid w:val="002C48F7"/>
    <w:rsid w:val="002D60C7"/>
    <w:rsid w:val="002D7323"/>
    <w:rsid w:val="002D7ABB"/>
    <w:rsid w:val="00322F37"/>
    <w:rsid w:val="00357A60"/>
    <w:rsid w:val="003609E9"/>
    <w:rsid w:val="003759D9"/>
    <w:rsid w:val="003D227D"/>
    <w:rsid w:val="003D2707"/>
    <w:rsid w:val="003E1D15"/>
    <w:rsid w:val="003F79D8"/>
    <w:rsid w:val="00400906"/>
    <w:rsid w:val="004108B2"/>
    <w:rsid w:val="004204C1"/>
    <w:rsid w:val="004307C5"/>
    <w:rsid w:val="00450A4D"/>
    <w:rsid w:val="00461259"/>
    <w:rsid w:val="00463AEC"/>
    <w:rsid w:val="0047641C"/>
    <w:rsid w:val="004A2880"/>
    <w:rsid w:val="004A5236"/>
    <w:rsid w:val="004A6776"/>
    <w:rsid w:val="004C412C"/>
    <w:rsid w:val="004D18E8"/>
    <w:rsid w:val="004D264C"/>
    <w:rsid w:val="004D7868"/>
    <w:rsid w:val="005066FF"/>
    <w:rsid w:val="0052262D"/>
    <w:rsid w:val="0053344D"/>
    <w:rsid w:val="005542D1"/>
    <w:rsid w:val="005611B3"/>
    <w:rsid w:val="0056188D"/>
    <w:rsid w:val="005779C0"/>
    <w:rsid w:val="005B685E"/>
    <w:rsid w:val="006175E8"/>
    <w:rsid w:val="00621252"/>
    <w:rsid w:val="006219B1"/>
    <w:rsid w:val="00644BB2"/>
    <w:rsid w:val="00650ECA"/>
    <w:rsid w:val="00653D73"/>
    <w:rsid w:val="00666EB3"/>
    <w:rsid w:val="006E682E"/>
    <w:rsid w:val="006F4734"/>
    <w:rsid w:val="00711E46"/>
    <w:rsid w:val="00717094"/>
    <w:rsid w:val="00725787"/>
    <w:rsid w:val="007439A9"/>
    <w:rsid w:val="00764564"/>
    <w:rsid w:val="0077307D"/>
    <w:rsid w:val="00796E90"/>
    <w:rsid w:val="007B53E7"/>
    <w:rsid w:val="007E0D08"/>
    <w:rsid w:val="007E7CA1"/>
    <w:rsid w:val="007F2B97"/>
    <w:rsid w:val="00813AEB"/>
    <w:rsid w:val="008254C4"/>
    <w:rsid w:val="00837EB5"/>
    <w:rsid w:val="00844936"/>
    <w:rsid w:val="008514A4"/>
    <w:rsid w:val="008514FB"/>
    <w:rsid w:val="008667AE"/>
    <w:rsid w:val="00884A4F"/>
    <w:rsid w:val="008C25DB"/>
    <w:rsid w:val="0091646F"/>
    <w:rsid w:val="009274CB"/>
    <w:rsid w:val="009B43C5"/>
    <w:rsid w:val="009C6EB4"/>
    <w:rsid w:val="009E0198"/>
    <w:rsid w:val="009E22D0"/>
    <w:rsid w:val="009F4B5C"/>
    <w:rsid w:val="00A00562"/>
    <w:rsid w:val="00A02DDD"/>
    <w:rsid w:val="00A041C9"/>
    <w:rsid w:val="00A248A3"/>
    <w:rsid w:val="00A30712"/>
    <w:rsid w:val="00A344E9"/>
    <w:rsid w:val="00A4414A"/>
    <w:rsid w:val="00A52CE5"/>
    <w:rsid w:val="00A56839"/>
    <w:rsid w:val="00A656BF"/>
    <w:rsid w:val="00A724E0"/>
    <w:rsid w:val="00A80586"/>
    <w:rsid w:val="00A95FE8"/>
    <w:rsid w:val="00AB5348"/>
    <w:rsid w:val="00AD34A1"/>
    <w:rsid w:val="00AF1614"/>
    <w:rsid w:val="00B241B4"/>
    <w:rsid w:val="00B34BDE"/>
    <w:rsid w:val="00B677E7"/>
    <w:rsid w:val="00B7196E"/>
    <w:rsid w:val="00B72271"/>
    <w:rsid w:val="00B73DAA"/>
    <w:rsid w:val="00B75089"/>
    <w:rsid w:val="00B91723"/>
    <w:rsid w:val="00B92627"/>
    <w:rsid w:val="00B9331C"/>
    <w:rsid w:val="00BA1949"/>
    <w:rsid w:val="00BB0CBF"/>
    <w:rsid w:val="00BB679D"/>
    <w:rsid w:val="00BC64E9"/>
    <w:rsid w:val="00BC6B69"/>
    <w:rsid w:val="00C40F7B"/>
    <w:rsid w:val="00C4234C"/>
    <w:rsid w:val="00C44951"/>
    <w:rsid w:val="00C91CFA"/>
    <w:rsid w:val="00C936F8"/>
    <w:rsid w:val="00CA14F3"/>
    <w:rsid w:val="00CA1BFF"/>
    <w:rsid w:val="00CB56BD"/>
    <w:rsid w:val="00CC5BCC"/>
    <w:rsid w:val="00CD0EFA"/>
    <w:rsid w:val="00CD65AF"/>
    <w:rsid w:val="00D043F3"/>
    <w:rsid w:val="00D056A0"/>
    <w:rsid w:val="00D15181"/>
    <w:rsid w:val="00D8346C"/>
    <w:rsid w:val="00DC593B"/>
    <w:rsid w:val="00DC7A5B"/>
    <w:rsid w:val="00DE2035"/>
    <w:rsid w:val="00DF0140"/>
    <w:rsid w:val="00E135C2"/>
    <w:rsid w:val="00E16E3D"/>
    <w:rsid w:val="00E24E76"/>
    <w:rsid w:val="00E31268"/>
    <w:rsid w:val="00E40AC5"/>
    <w:rsid w:val="00E938E1"/>
    <w:rsid w:val="00E94D05"/>
    <w:rsid w:val="00F03AB8"/>
    <w:rsid w:val="00F16F09"/>
    <w:rsid w:val="00F30B77"/>
    <w:rsid w:val="00F516B3"/>
    <w:rsid w:val="00F5319A"/>
    <w:rsid w:val="00F53326"/>
    <w:rsid w:val="00F56199"/>
    <w:rsid w:val="00F6347A"/>
    <w:rsid w:val="00F72BCF"/>
    <w:rsid w:val="00F7695F"/>
    <w:rsid w:val="00F93774"/>
    <w:rsid w:val="00F96F82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A1325E3"/>
  <w15:docId w15:val="{D751CE4D-3539-4D34-933B-EC16CEBD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43F3"/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450A4D"/>
    <w:rPr>
      <w:rFonts w:ascii="Calibri" w:hAnsi="Calibri"/>
      <w:sz w:val="22"/>
      <w:szCs w:val="22"/>
    </w:rPr>
  </w:style>
  <w:style w:type="paragraph" w:customStyle="1" w:styleId="SingleBullet">
    <w:name w:val="Single Bullet"/>
    <w:basedOn w:val="Normal"/>
    <w:next w:val="Normal"/>
    <w:rsid w:val="003E1D15"/>
    <w:pPr>
      <w:numPr>
        <w:numId w:val="26"/>
      </w:numPr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80" w:lineRule="exact"/>
    </w:pPr>
    <w:rPr>
      <w:rFonts w:ascii="Zurich BT" w:hAnsi="Zurich BT"/>
    </w:rPr>
  </w:style>
  <w:style w:type="paragraph" w:customStyle="1" w:styleId="bullet">
    <w:name w:val="bullet"/>
    <w:basedOn w:val="Normal"/>
    <w:rsid w:val="003E1D15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61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AC1FAADE-7884-40D6-A753-674E3DC3F68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Kate Lyon</cp:lastModifiedBy>
  <cp:revision>2</cp:revision>
  <dcterms:created xsi:type="dcterms:W3CDTF">2021-09-15T13:21:00Z</dcterms:created>
  <dcterms:modified xsi:type="dcterms:W3CDTF">2021-09-15T13:21:00Z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18b3933e-ce95-4141-9f5f-164048498c88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