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1985"/>
        <w:gridCol w:w="2976"/>
        <w:gridCol w:w="3402"/>
      </w:tblGrid>
      <w:tr w:rsidR="00F5319A" w:rsidRPr="00B75089" w14:paraId="607BC9EC" w14:textId="77777777" w:rsidTr="0088329E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5DBA71C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1985" w:type="dxa"/>
          </w:tcPr>
          <w:p w14:paraId="54AB0800" w14:textId="3527FABC" w:rsidR="00F5319A" w:rsidRPr="00B75089" w:rsidRDefault="00E90C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Reward</w:t>
            </w:r>
            <w:r w:rsidR="00A37292">
              <w:rPr>
                <w:rFonts w:ascii="Arial" w:hAnsi="Arial" w:cs="Arial"/>
                <w:sz w:val="20"/>
                <w:szCs w:val="20"/>
              </w:rPr>
              <w:t xml:space="preserve"> Analyst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5ED0C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402" w:type="dxa"/>
          </w:tcPr>
          <w:p w14:paraId="107B2D0B" w14:textId="563723DC" w:rsidR="00F5319A" w:rsidRPr="00B75089" w:rsidRDefault="009C48D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Reward </w:t>
            </w:r>
          </w:p>
        </w:tc>
      </w:tr>
      <w:tr w:rsidR="00F5319A" w:rsidRPr="00B75089" w14:paraId="1336D8BE" w14:textId="77777777" w:rsidTr="0088329E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07FE552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1985" w:type="dxa"/>
          </w:tcPr>
          <w:p w14:paraId="43157AA8" w14:textId="12F46B23" w:rsidR="00F5319A" w:rsidRPr="00B75089" w:rsidRDefault="00E90C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A0F4F6E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286704FB" w14:textId="061721B7" w:rsidR="00F5319A" w:rsidRPr="00B75089" w:rsidRDefault="00D2412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Reward and Benefits</w:t>
            </w:r>
          </w:p>
        </w:tc>
      </w:tr>
      <w:tr w:rsidR="00F5319A" w:rsidRPr="00B75089" w14:paraId="3C4DE78D" w14:textId="77777777" w:rsidTr="0088329E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A25B66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1985" w:type="dxa"/>
            <w:vMerge w:val="restart"/>
          </w:tcPr>
          <w:p w14:paraId="53D39543" w14:textId="77777777" w:rsidR="00F5319A" w:rsidRPr="00B75089" w:rsidRDefault="00E90C16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12113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2C529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3E682C7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402" w:type="dxa"/>
          </w:tcPr>
          <w:p w14:paraId="3D7E9604" w14:textId="51C24A30" w:rsidR="00B75089" w:rsidRPr="00B75089" w:rsidRDefault="005C6C52" w:rsidP="00CC56F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compensation</w:t>
            </w:r>
            <w:r w:rsidR="000269F7">
              <w:rPr>
                <w:rFonts w:ascii="Arial" w:hAnsi="Arial" w:cs="Arial"/>
                <w:sz w:val="20"/>
                <w:szCs w:val="20"/>
              </w:rPr>
              <w:t xml:space="preserve"> policies and procedures</w:t>
            </w:r>
          </w:p>
        </w:tc>
      </w:tr>
      <w:tr w:rsidR="00F5319A" w:rsidRPr="00B75089" w14:paraId="36C3719A" w14:textId="77777777" w:rsidTr="0088329E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3B8ECB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85E99F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045CFB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402" w:type="dxa"/>
          </w:tcPr>
          <w:p w14:paraId="313E1BF6" w14:textId="77777777" w:rsidR="00F5319A" w:rsidRPr="00B75089" w:rsidRDefault="00E90C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118CB91A" w14:textId="77777777" w:rsidTr="0088329E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2E9F47F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554D8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378D1AE1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402" w:type="dxa"/>
          </w:tcPr>
          <w:p w14:paraId="3B4CEF7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7B6B784D" w14:textId="77777777" w:rsidTr="0088329E">
        <w:trPr>
          <w:trHeight w:val="185"/>
        </w:trPr>
        <w:tc>
          <w:tcPr>
            <w:tcW w:w="2127" w:type="dxa"/>
            <w:shd w:val="clear" w:color="auto" w:fill="D9D9D9" w:themeFill="background1" w:themeFillShade="D9"/>
          </w:tcPr>
          <w:p w14:paraId="5EA5C56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1985" w:type="dxa"/>
          </w:tcPr>
          <w:p w14:paraId="1891F727" w14:textId="25A4E722" w:rsidR="007E7CA1" w:rsidRPr="00B75089" w:rsidRDefault="0025365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3F0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9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2C34FA3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402" w:type="dxa"/>
          </w:tcPr>
          <w:p w14:paraId="09D2EA19" w14:textId="4243D912" w:rsidR="007E7CA1" w:rsidRPr="00B75089" w:rsidRDefault="00BE73B2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</w:t>
            </w:r>
            <w:r w:rsidR="000B4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</w:t>
            </w:r>
          </w:p>
        </w:tc>
      </w:tr>
    </w:tbl>
    <w:p w14:paraId="64F31D27" w14:textId="77777777" w:rsidR="00F5319A" w:rsidRPr="00E83EA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1D1AE489" w14:textId="77777777" w:rsidTr="003C65EE">
        <w:trPr>
          <w:trHeight w:val="249"/>
        </w:trPr>
        <w:tc>
          <w:tcPr>
            <w:tcW w:w="10509" w:type="dxa"/>
            <w:shd w:val="clear" w:color="auto" w:fill="D9D9D9" w:themeFill="background1" w:themeFillShade="D9"/>
          </w:tcPr>
          <w:p w14:paraId="5DB252A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359AF2B7" w14:textId="77777777" w:rsidTr="00F752F9">
        <w:trPr>
          <w:trHeight w:val="828"/>
        </w:trPr>
        <w:tc>
          <w:tcPr>
            <w:tcW w:w="10509" w:type="dxa"/>
          </w:tcPr>
          <w:p w14:paraId="2BBE10E5" w14:textId="56F39EAD" w:rsidR="009E22D0" w:rsidRPr="000269F7" w:rsidRDefault="002070D4" w:rsidP="00F752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426CC3">
              <w:rPr>
                <w:rFonts w:ascii="Arial" w:hAnsi="Arial" w:cs="Arial"/>
                <w:sz w:val="20"/>
                <w:szCs w:val="20"/>
              </w:rPr>
              <w:t>Head of Reward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219">
              <w:rPr>
                <w:rFonts w:ascii="Arial" w:hAnsi="Arial" w:cs="Arial"/>
                <w:sz w:val="20"/>
                <w:szCs w:val="20"/>
              </w:rPr>
              <w:t>and Reward Partner to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deliver a global reward strategy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EC4012">
              <w:rPr>
                <w:rFonts w:ascii="Arial" w:hAnsi="Arial" w:cs="Arial"/>
                <w:sz w:val="20"/>
                <w:szCs w:val="20"/>
              </w:rPr>
              <w:t>optimises the organisation’s spend on total reward and contributes to the effectiveness of our EVP</w:t>
            </w:r>
            <w:r w:rsidR="00BC5198">
              <w:rPr>
                <w:rFonts w:ascii="Arial" w:hAnsi="Arial" w:cs="Arial"/>
                <w:sz w:val="20"/>
                <w:szCs w:val="20"/>
              </w:rPr>
              <w:t xml:space="preserve">.  Provide </w:t>
            </w:r>
            <w:r w:rsidR="000E6B98">
              <w:rPr>
                <w:rFonts w:ascii="Arial" w:hAnsi="Arial" w:cs="Arial"/>
                <w:sz w:val="20"/>
                <w:szCs w:val="20"/>
              </w:rPr>
              <w:t xml:space="preserve">market data analysis and internal compensation data insights </w:t>
            </w:r>
            <w:r w:rsidR="00FA7335">
              <w:rPr>
                <w:rFonts w:ascii="Arial" w:hAnsi="Arial" w:cs="Arial"/>
                <w:sz w:val="20"/>
                <w:szCs w:val="20"/>
              </w:rPr>
              <w:t>which inform policy development</w:t>
            </w:r>
            <w:r w:rsidR="007320B1">
              <w:rPr>
                <w:rFonts w:ascii="Arial" w:hAnsi="Arial" w:cs="Arial"/>
                <w:sz w:val="20"/>
                <w:szCs w:val="20"/>
              </w:rPr>
              <w:t>,</w:t>
            </w:r>
            <w:r w:rsidR="008D7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7CE">
              <w:rPr>
                <w:rFonts w:ascii="Arial" w:hAnsi="Arial" w:cs="Arial"/>
                <w:sz w:val="20"/>
                <w:szCs w:val="20"/>
              </w:rPr>
              <w:t>ensur</w:t>
            </w:r>
            <w:r w:rsidR="00AD4AE5">
              <w:rPr>
                <w:rFonts w:ascii="Arial" w:hAnsi="Arial" w:cs="Arial"/>
                <w:sz w:val="20"/>
                <w:szCs w:val="20"/>
              </w:rPr>
              <w:t>ing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we are</w:t>
            </w:r>
            <w:r w:rsidR="000269F7">
              <w:rPr>
                <w:rFonts w:ascii="Arial" w:hAnsi="Arial" w:cs="Arial"/>
                <w:sz w:val="20"/>
                <w:szCs w:val="20"/>
              </w:rPr>
              <w:t xml:space="preserve"> competitive in the</w:t>
            </w:r>
            <w:r w:rsidR="00CC1E93">
              <w:rPr>
                <w:rFonts w:ascii="Arial" w:hAnsi="Arial" w:cs="Arial"/>
                <w:sz w:val="20"/>
                <w:szCs w:val="20"/>
              </w:rPr>
              <w:t xml:space="preserve"> external</w:t>
            </w:r>
            <w:r w:rsidR="000269F7">
              <w:rPr>
                <w:rFonts w:ascii="Arial" w:hAnsi="Arial" w:cs="Arial"/>
                <w:sz w:val="20"/>
                <w:szCs w:val="20"/>
              </w:rPr>
              <w:t xml:space="preserve"> marketplace </w:t>
            </w:r>
            <w:r w:rsidR="007A091F">
              <w:rPr>
                <w:rFonts w:ascii="Arial" w:hAnsi="Arial" w:cs="Arial"/>
                <w:sz w:val="20"/>
                <w:szCs w:val="20"/>
              </w:rPr>
              <w:t>and able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to recruit and retain talented colleagues</w:t>
            </w:r>
            <w:r w:rsidR="00C16832">
              <w:rPr>
                <w:rFonts w:ascii="Arial" w:hAnsi="Arial" w:cs="Arial"/>
                <w:sz w:val="20"/>
                <w:szCs w:val="20"/>
              </w:rPr>
              <w:t>.</w:t>
            </w:r>
            <w:r w:rsidR="00AA47C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45E21F0" w14:textId="77777777" w:rsidR="009E22D0" w:rsidRPr="00E83EA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41E1659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48A4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FD39C40" w14:textId="77777777" w:rsidR="009E22D0" w:rsidRPr="00B75089" w:rsidRDefault="009E22D0" w:rsidP="003C65E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148113EC" w14:textId="77777777" w:rsidTr="00F752F9">
        <w:trPr>
          <w:trHeight w:val="2691"/>
        </w:trPr>
        <w:tc>
          <w:tcPr>
            <w:tcW w:w="6346" w:type="dxa"/>
          </w:tcPr>
          <w:p w14:paraId="1D8223A3" w14:textId="77777777" w:rsidR="00DD07EC" w:rsidRDefault="0056188D" w:rsidP="00DD07E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9C0A0F" w14:textId="77777777" w:rsidR="007320B1" w:rsidRDefault="002228BE" w:rsidP="00DD07E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320B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Act as the key point of contact for </w:t>
            </w:r>
            <w:r w:rsidR="004C78E0" w:rsidRPr="007320B1">
              <w:rPr>
                <w:rFonts w:ascii="Arial" w:eastAsia="Calibri" w:hAnsi="Arial" w:cs="Arial"/>
                <w:bCs/>
                <w:sz w:val="20"/>
                <w:szCs w:val="20"/>
              </w:rPr>
              <w:t>all role</w:t>
            </w:r>
            <w:r w:rsidR="000269F7" w:rsidRPr="007320B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profile and evaluation </w:t>
            </w:r>
            <w:r w:rsidR="003E4D2B" w:rsidRPr="007320B1">
              <w:rPr>
                <w:rFonts w:ascii="Arial" w:eastAsia="Calibri" w:hAnsi="Arial" w:cs="Arial"/>
                <w:bCs/>
                <w:sz w:val="20"/>
                <w:szCs w:val="20"/>
              </w:rPr>
              <w:t>requests</w:t>
            </w:r>
            <w:r w:rsidR="000F5840" w:rsidRPr="007320B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4C78E0" w:rsidRPr="007320B1">
              <w:rPr>
                <w:rFonts w:ascii="Arial" w:eastAsia="Calibri" w:hAnsi="Arial" w:cs="Arial"/>
                <w:bCs/>
                <w:sz w:val="20"/>
                <w:szCs w:val="20"/>
              </w:rPr>
              <w:t>ensuring</w:t>
            </w:r>
            <w:r w:rsidR="000269F7" w:rsidRPr="007320B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profiles are of a high quality to enable accurate </w:t>
            </w:r>
            <w:r w:rsidR="0073382C" w:rsidRPr="007320B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fair </w:t>
            </w:r>
            <w:r w:rsidR="000269F7" w:rsidRPr="007320B1">
              <w:rPr>
                <w:rFonts w:ascii="Arial" w:eastAsia="Calibri" w:hAnsi="Arial" w:cs="Arial"/>
                <w:bCs/>
                <w:sz w:val="20"/>
                <w:szCs w:val="20"/>
              </w:rPr>
              <w:t>evaluation, benchmarking and grading of roles.</w:t>
            </w:r>
          </w:p>
          <w:p w14:paraId="0E76BCD2" w14:textId="49690969" w:rsidR="00DD07EC" w:rsidRPr="007320B1" w:rsidRDefault="00E24CE1" w:rsidP="00DD07E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320B1">
              <w:rPr>
                <w:rFonts w:ascii="Arial" w:hAnsi="Arial" w:cs="Arial"/>
                <w:sz w:val="20"/>
                <w:szCs w:val="20"/>
              </w:rPr>
              <w:t>Complete salary survey submission</w:t>
            </w:r>
            <w:r w:rsidR="007660C7" w:rsidRPr="007320B1">
              <w:rPr>
                <w:rFonts w:ascii="Arial" w:hAnsi="Arial" w:cs="Arial"/>
                <w:sz w:val="20"/>
                <w:szCs w:val="20"/>
              </w:rPr>
              <w:t>s, drawing insights and making recommendations from the resulting data</w:t>
            </w:r>
            <w:r w:rsidR="007320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6A8323" w14:textId="2A7A39CA" w:rsidR="00DD07EC" w:rsidRPr="007320B1" w:rsidRDefault="007320B1" w:rsidP="007320B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0B1">
              <w:rPr>
                <w:rFonts w:ascii="Arial" w:hAnsi="Arial" w:cs="Arial"/>
                <w:sz w:val="20"/>
                <w:szCs w:val="20"/>
              </w:rPr>
              <w:t>M</w:t>
            </w:r>
            <w:r w:rsidR="00682ECC" w:rsidRPr="007320B1">
              <w:rPr>
                <w:rFonts w:ascii="Arial" w:hAnsi="Arial" w:cs="Arial"/>
                <w:sz w:val="20"/>
                <w:szCs w:val="20"/>
              </w:rPr>
              <w:t xml:space="preserve">odelling of internal colleague payroll </w:t>
            </w:r>
            <w:r w:rsidR="008F753D" w:rsidRPr="007320B1">
              <w:rPr>
                <w:rFonts w:ascii="Arial" w:hAnsi="Arial" w:cs="Arial"/>
                <w:sz w:val="20"/>
                <w:szCs w:val="20"/>
              </w:rPr>
              <w:t xml:space="preserve">and HR related </w:t>
            </w:r>
            <w:r w:rsidR="00682ECC" w:rsidRPr="007320B1">
              <w:rPr>
                <w:rFonts w:ascii="Arial" w:hAnsi="Arial" w:cs="Arial"/>
                <w:sz w:val="20"/>
                <w:szCs w:val="20"/>
              </w:rPr>
              <w:t>data to e</w:t>
            </w:r>
            <w:r w:rsidR="00910447" w:rsidRPr="007320B1">
              <w:rPr>
                <w:rFonts w:ascii="Arial" w:hAnsi="Arial" w:cs="Arial"/>
                <w:sz w:val="20"/>
                <w:szCs w:val="20"/>
              </w:rPr>
              <w:t>nsure our reward portfolio is applied fairly and consistently.</w:t>
            </w:r>
          </w:p>
          <w:p w14:paraId="1C729845" w14:textId="7BBFA6AF" w:rsidR="000269F7" w:rsidRPr="007320B1" w:rsidRDefault="00D42C75" w:rsidP="007320B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20B1">
              <w:rPr>
                <w:rFonts w:ascii="Arial" w:hAnsi="Arial" w:cs="Arial"/>
                <w:sz w:val="20"/>
                <w:szCs w:val="20"/>
              </w:rPr>
              <w:t>Support the d</w:t>
            </w:r>
            <w:r w:rsidR="000269F7" w:rsidRPr="007320B1">
              <w:rPr>
                <w:rFonts w:ascii="Arial" w:hAnsi="Arial" w:cs="Arial"/>
                <w:sz w:val="20"/>
                <w:szCs w:val="20"/>
              </w:rPr>
              <w:t>eliver</w:t>
            </w:r>
            <w:r w:rsidRPr="007320B1">
              <w:rPr>
                <w:rFonts w:ascii="Arial" w:hAnsi="Arial" w:cs="Arial"/>
                <w:sz w:val="20"/>
                <w:szCs w:val="20"/>
              </w:rPr>
              <w:t>y of</w:t>
            </w:r>
            <w:r w:rsidR="000269F7" w:rsidRPr="007320B1">
              <w:rPr>
                <w:rFonts w:ascii="Arial" w:hAnsi="Arial" w:cs="Arial"/>
                <w:sz w:val="20"/>
                <w:szCs w:val="20"/>
              </w:rPr>
              <w:t xml:space="preserve"> reward related workstreams for People projects ensuring delivery to time, cost and quality.</w:t>
            </w:r>
          </w:p>
        </w:tc>
        <w:tc>
          <w:tcPr>
            <w:tcW w:w="4141" w:type="dxa"/>
          </w:tcPr>
          <w:p w14:paraId="42DF8DF5" w14:textId="77777777" w:rsidR="00C91CFA" w:rsidRPr="00B75089" w:rsidRDefault="00467BA3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Compliant Pay Framework</w:t>
            </w:r>
          </w:p>
          <w:p w14:paraId="1555B803" w14:textId="77777777" w:rsidR="009E22D0" w:rsidRPr="00B75089" w:rsidRDefault="00467BA3" w:rsidP="00B7508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</w:tc>
      </w:tr>
      <w:tr w:rsidR="009E22D0" w:rsidRPr="00B75089" w14:paraId="28716E10" w14:textId="77777777" w:rsidTr="007320B1">
        <w:trPr>
          <w:trHeight w:val="1876"/>
        </w:trPr>
        <w:tc>
          <w:tcPr>
            <w:tcW w:w="6346" w:type="dxa"/>
          </w:tcPr>
          <w:p w14:paraId="36E60D7E" w14:textId="77777777" w:rsidR="009E22D0" w:rsidRPr="00B75089" w:rsidRDefault="009E22D0" w:rsidP="00E83E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D0BC638" w14:textId="4B7A2724" w:rsidR="009E22D0" w:rsidRDefault="00660AD5" w:rsidP="00F752F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945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138A4">
              <w:rPr>
                <w:rFonts w:ascii="Arial" w:hAnsi="Arial" w:cs="Arial"/>
                <w:sz w:val="20"/>
                <w:szCs w:val="20"/>
              </w:rPr>
              <w:t xml:space="preserve">operational delivery of the </w:t>
            </w:r>
            <w:r w:rsidR="0073382C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="00C9451A">
              <w:rPr>
                <w:rFonts w:ascii="Arial" w:hAnsi="Arial" w:cs="Arial"/>
                <w:sz w:val="20"/>
                <w:szCs w:val="20"/>
              </w:rPr>
              <w:t>pay review</w:t>
            </w:r>
            <w:r w:rsidR="00A138A4">
              <w:rPr>
                <w:rFonts w:ascii="Arial" w:hAnsi="Arial" w:cs="Arial"/>
                <w:sz w:val="20"/>
                <w:szCs w:val="20"/>
              </w:rPr>
              <w:t xml:space="preserve"> to optimise the investment made</w:t>
            </w:r>
            <w:r w:rsidR="008F753D">
              <w:rPr>
                <w:rFonts w:ascii="Arial" w:hAnsi="Arial" w:cs="Arial"/>
                <w:sz w:val="20"/>
                <w:szCs w:val="20"/>
              </w:rPr>
              <w:t>.</w:t>
            </w:r>
            <w:r w:rsidR="00C9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B0A06D" w14:textId="5B3FD338" w:rsidR="00B516DF" w:rsidRPr="000269F7" w:rsidRDefault="00C9451A" w:rsidP="007320B1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D98">
              <w:rPr>
                <w:rFonts w:ascii="Arial" w:hAnsi="Arial" w:cs="Arial"/>
                <w:sz w:val="20"/>
                <w:szCs w:val="20"/>
              </w:rPr>
              <w:t>De</w:t>
            </w:r>
            <w:r w:rsidR="0073382C">
              <w:rPr>
                <w:rFonts w:ascii="Arial" w:hAnsi="Arial" w:cs="Arial"/>
                <w:sz w:val="20"/>
                <w:szCs w:val="20"/>
              </w:rPr>
              <w:t xml:space="preserve">velop and deliver </w:t>
            </w:r>
            <w:r w:rsidRPr="00AD5D98">
              <w:rPr>
                <w:rFonts w:ascii="Arial" w:hAnsi="Arial" w:cs="Arial"/>
                <w:sz w:val="20"/>
                <w:szCs w:val="20"/>
              </w:rPr>
              <w:t xml:space="preserve">all required </w:t>
            </w:r>
            <w:r w:rsidR="00C476D8">
              <w:rPr>
                <w:rFonts w:ascii="Arial" w:hAnsi="Arial" w:cs="Arial"/>
                <w:sz w:val="20"/>
                <w:szCs w:val="20"/>
              </w:rPr>
              <w:t>data insights</w:t>
            </w:r>
            <w:r w:rsidR="00D11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FE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AD5D98">
              <w:rPr>
                <w:rFonts w:ascii="Arial" w:hAnsi="Arial" w:cs="Arial"/>
                <w:sz w:val="20"/>
                <w:szCs w:val="20"/>
              </w:rPr>
              <w:t xml:space="preserve">ensure timely and accurate </w:t>
            </w:r>
            <w:r w:rsidR="00AD5D98" w:rsidRPr="00AD5D98">
              <w:rPr>
                <w:rFonts w:ascii="Arial" w:hAnsi="Arial" w:cs="Arial"/>
                <w:sz w:val="20"/>
                <w:szCs w:val="20"/>
              </w:rPr>
              <w:t>papers</w:t>
            </w:r>
            <w:r w:rsidRPr="00AD5D98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="00B516DF" w:rsidRPr="00AD5D98">
              <w:rPr>
                <w:rFonts w:ascii="Arial" w:hAnsi="Arial" w:cs="Arial"/>
                <w:sz w:val="20"/>
                <w:szCs w:val="20"/>
              </w:rPr>
              <w:t>Remuneration and Nominations Co</w:t>
            </w:r>
            <w:r w:rsidR="00AD5D98" w:rsidRPr="00AD5D98">
              <w:rPr>
                <w:rFonts w:ascii="Arial" w:hAnsi="Arial" w:cs="Arial"/>
                <w:sz w:val="20"/>
                <w:szCs w:val="20"/>
              </w:rPr>
              <w:t>mmittee</w:t>
            </w:r>
            <w:r w:rsidR="00072FE1">
              <w:rPr>
                <w:rFonts w:ascii="Arial" w:hAnsi="Arial" w:cs="Arial"/>
                <w:sz w:val="20"/>
                <w:szCs w:val="20"/>
              </w:rPr>
              <w:t xml:space="preserve"> can be drafted.</w:t>
            </w:r>
          </w:p>
        </w:tc>
        <w:tc>
          <w:tcPr>
            <w:tcW w:w="4141" w:type="dxa"/>
          </w:tcPr>
          <w:p w14:paraId="69075162" w14:textId="3537F5C8" w:rsidR="009E22D0" w:rsidRDefault="00C9451A" w:rsidP="00C9451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 review within budget</w:t>
            </w:r>
          </w:p>
          <w:p w14:paraId="59EE5CF8" w14:textId="28AC723A" w:rsidR="00C9451A" w:rsidRPr="00B75089" w:rsidRDefault="00C9451A" w:rsidP="00AD5D9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Accurate and timely </w:t>
            </w:r>
            <w:r w:rsidR="00AD5D98">
              <w:rPr>
                <w:rFonts w:ascii="Arial" w:hAnsi="Arial" w:cs="Arial"/>
                <w:sz w:val="20"/>
                <w:szCs w:val="20"/>
              </w:rPr>
              <w:t xml:space="preserve">production of </w:t>
            </w:r>
            <w:r w:rsidR="00971C0E">
              <w:rPr>
                <w:rFonts w:ascii="Arial" w:hAnsi="Arial" w:cs="Arial"/>
                <w:sz w:val="20"/>
                <w:szCs w:val="20"/>
              </w:rPr>
              <w:t>data insights</w:t>
            </w:r>
            <w:r w:rsidR="00AD5D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4E09909B" w14:textId="77777777" w:rsidTr="009E22D0">
        <w:trPr>
          <w:trHeight w:val="578"/>
        </w:trPr>
        <w:tc>
          <w:tcPr>
            <w:tcW w:w="6346" w:type="dxa"/>
          </w:tcPr>
          <w:p w14:paraId="229818BB" w14:textId="77777777" w:rsidR="009E22D0" w:rsidRPr="00B75089" w:rsidRDefault="009E22D0" w:rsidP="00E83EA1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FF98B43" w14:textId="30A606D4" w:rsidR="00AD5D98" w:rsidRDefault="001C3587" w:rsidP="00F752F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regular reviews of the market to identify be</w:t>
            </w:r>
            <w:r w:rsidR="006E25EC">
              <w:rPr>
                <w:rFonts w:ascii="Arial" w:hAnsi="Arial" w:cs="Arial"/>
                <w:sz w:val="20"/>
                <w:szCs w:val="20"/>
              </w:rPr>
              <w:t xml:space="preserve">st practice in the Reward space and undertake regular horizon scanning to identify any upcoming legislation which may impact </w:t>
            </w:r>
            <w:r w:rsidR="00843639">
              <w:rPr>
                <w:rFonts w:ascii="Arial" w:hAnsi="Arial" w:cs="Arial"/>
                <w:sz w:val="20"/>
                <w:szCs w:val="20"/>
              </w:rPr>
              <w:t xml:space="preserve">existing </w:t>
            </w:r>
            <w:r w:rsidR="003452B5">
              <w:rPr>
                <w:rFonts w:ascii="Arial" w:hAnsi="Arial" w:cs="Arial"/>
                <w:sz w:val="20"/>
                <w:szCs w:val="20"/>
              </w:rPr>
              <w:t xml:space="preserve">reward policies and procedures. </w:t>
            </w:r>
          </w:p>
          <w:p w14:paraId="63604E32" w14:textId="25FC7D93" w:rsidR="00FC0B6F" w:rsidRPr="00B63C27" w:rsidRDefault="00DB140C" w:rsidP="00B63C27">
            <w:pPr>
              <w:pStyle w:val="ListParagraph"/>
              <w:numPr>
                <w:ilvl w:val="0"/>
                <w:numId w:val="14"/>
              </w:numPr>
              <w:spacing w:after="0"/>
              <w:ind w:left="458" w:hanging="458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B63C27">
              <w:rPr>
                <w:rFonts w:ascii="Arial" w:hAnsi="Arial" w:cs="Arial"/>
                <w:sz w:val="20"/>
                <w:szCs w:val="20"/>
              </w:rPr>
              <w:t xml:space="preserve">Make recommendations </w:t>
            </w:r>
            <w:r w:rsidR="007B78FE" w:rsidRPr="00B63C27">
              <w:rPr>
                <w:rFonts w:ascii="Arial" w:hAnsi="Arial" w:cs="Arial"/>
                <w:sz w:val="20"/>
                <w:szCs w:val="20"/>
              </w:rPr>
              <w:t xml:space="preserve">for continuous improvement </w:t>
            </w:r>
            <w:r w:rsidR="00DD03AA" w:rsidRPr="00B63C27">
              <w:rPr>
                <w:rFonts w:ascii="Arial" w:hAnsi="Arial" w:cs="Arial"/>
                <w:sz w:val="20"/>
                <w:szCs w:val="20"/>
              </w:rPr>
              <w:t>to ensure our reward policies and procedures operate efficiently and eff</w:t>
            </w:r>
            <w:r w:rsidR="001F61EF" w:rsidRPr="00B63C27">
              <w:rPr>
                <w:rFonts w:ascii="Arial" w:hAnsi="Arial" w:cs="Arial"/>
                <w:sz w:val="20"/>
                <w:szCs w:val="20"/>
              </w:rPr>
              <w:t>e</w:t>
            </w:r>
            <w:r w:rsidR="00DD03AA" w:rsidRPr="00B63C27">
              <w:rPr>
                <w:rFonts w:ascii="Arial" w:hAnsi="Arial" w:cs="Arial"/>
                <w:sz w:val="20"/>
                <w:szCs w:val="20"/>
              </w:rPr>
              <w:t>ctively</w:t>
            </w:r>
            <w:r w:rsidR="00C415CE" w:rsidRPr="00B63C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00A4D199" w14:textId="2CBFE706" w:rsidR="009E22D0" w:rsidRPr="00B75089" w:rsidRDefault="00AD5D98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</w:t>
            </w:r>
            <w:r w:rsidR="00557BB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ant policies</w:t>
            </w:r>
          </w:p>
        </w:tc>
      </w:tr>
      <w:tr w:rsidR="009E22D0" w:rsidRPr="00B75089" w14:paraId="1EDB546C" w14:textId="77777777" w:rsidTr="00F752F9">
        <w:trPr>
          <w:trHeight w:val="589"/>
        </w:trPr>
        <w:tc>
          <w:tcPr>
            <w:tcW w:w="6346" w:type="dxa"/>
          </w:tcPr>
          <w:p w14:paraId="5FFD62B9" w14:textId="77777777" w:rsidR="009E22D0" w:rsidRPr="00B75089" w:rsidRDefault="009E22D0" w:rsidP="00E83EA1">
            <w:pPr>
              <w:spacing w:after="0" w:line="240" w:lineRule="auto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6C14567" w14:textId="77777777" w:rsidR="00AA14D7" w:rsidRPr="00AD5D98" w:rsidRDefault="00AA14D7" w:rsidP="00F752F9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0F902D01" w14:textId="77777777" w:rsidR="009E22D0" w:rsidRPr="00B75089" w:rsidRDefault="009E22D0" w:rsidP="00B7508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13EA4EBD" w14:textId="77777777" w:rsidR="009E22D0" w:rsidRPr="00AA14D7" w:rsidRDefault="003C65EE" w:rsidP="00AD5D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Value Proposition </w:t>
            </w:r>
            <w:r w:rsidR="0088329E">
              <w:rPr>
                <w:rFonts w:ascii="Arial" w:hAnsi="Arial" w:cs="Arial"/>
                <w:sz w:val="20"/>
                <w:szCs w:val="20"/>
              </w:rPr>
              <w:t>awareness metrics</w:t>
            </w:r>
            <w:r w:rsidR="009E22D0" w:rsidRPr="00AA14D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B75089" w14:paraId="6387C942" w14:textId="77777777" w:rsidTr="00F752F9">
        <w:trPr>
          <w:trHeight w:val="2398"/>
        </w:trPr>
        <w:tc>
          <w:tcPr>
            <w:tcW w:w="6346" w:type="dxa"/>
          </w:tcPr>
          <w:p w14:paraId="5F4269B5" w14:textId="77777777" w:rsidR="009E22D0" w:rsidRPr="00B75089" w:rsidRDefault="009E22D0" w:rsidP="00E83EA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11DE209E" w14:textId="031D9114" w:rsidR="009E22D0" w:rsidRDefault="00B850FA" w:rsidP="00F752F9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21CE9">
              <w:rPr>
                <w:rFonts w:ascii="Arial" w:hAnsi="Arial" w:cs="Arial"/>
                <w:sz w:val="20"/>
                <w:szCs w:val="20"/>
              </w:rPr>
              <w:t>omply with policies and regulatory requirements within the Risk Policy Framework.</w:t>
            </w:r>
          </w:p>
          <w:p w14:paraId="11961B67" w14:textId="77777777" w:rsidR="00221CE9" w:rsidRDefault="00221CE9" w:rsidP="00F752F9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report risks and issues identified within People and Culture and across MPS to enable resolution and mitigation of potential risk on MPS, members and colleagues.</w:t>
            </w:r>
          </w:p>
          <w:p w14:paraId="46A5F544" w14:textId="373128DB" w:rsidR="00221CE9" w:rsidRPr="00221CE9" w:rsidRDefault="00221CE9" w:rsidP="00F752F9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an environment where all colleagues </w:t>
            </w:r>
            <w:r w:rsidR="00BA0D3C">
              <w:rPr>
                <w:rFonts w:ascii="Arial" w:hAnsi="Arial" w:cs="Arial"/>
                <w:sz w:val="20"/>
                <w:szCs w:val="20"/>
              </w:rPr>
              <w:t>recognise the importance of ri</w:t>
            </w:r>
            <w:r>
              <w:rPr>
                <w:rFonts w:ascii="Arial" w:hAnsi="Arial" w:cs="Arial"/>
                <w:sz w:val="20"/>
                <w:szCs w:val="20"/>
              </w:rPr>
              <w:t>sk identification and management.</w:t>
            </w:r>
          </w:p>
        </w:tc>
        <w:tc>
          <w:tcPr>
            <w:tcW w:w="4141" w:type="dxa"/>
          </w:tcPr>
          <w:p w14:paraId="67BF0A0B" w14:textId="77777777" w:rsidR="00221CE9" w:rsidRPr="00221CE9" w:rsidRDefault="009E22D0" w:rsidP="00221CE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26F127C2" w14:textId="77777777" w:rsidR="00221CE9" w:rsidRPr="00221CE9" w:rsidRDefault="009E22D0" w:rsidP="00221CE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0C8EF633" w14:textId="77777777" w:rsidR="00221CE9" w:rsidRPr="00221CE9" w:rsidRDefault="00221CE9" w:rsidP="00221CE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the Risk Policy Framework</w:t>
            </w:r>
          </w:p>
        </w:tc>
      </w:tr>
    </w:tbl>
    <w:p w14:paraId="6B40D4CC" w14:textId="77777777" w:rsidR="00FB4711" w:rsidRPr="009A2DED" w:rsidRDefault="00FB471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C7415E2" w14:textId="77777777" w:rsidTr="0088329E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1307E9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1A3B4CC" w14:textId="77777777" w:rsidTr="00F752F9">
        <w:trPr>
          <w:trHeight w:val="1415"/>
        </w:trPr>
        <w:tc>
          <w:tcPr>
            <w:tcW w:w="10490" w:type="dxa"/>
          </w:tcPr>
          <w:p w14:paraId="7C784216" w14:textId="6ADD5739" w:rsidR="009E22D0" w:rsidRDefault="00B908AC" w:rsidP="0088329E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487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931E3">
              <w:rPr>
                <w:rFonts w:ascii="Arial" w:hAnsi="Arial" w:cs="Arial"/>
                <w:sz w:val="20"/>
                <w:szCs w:val="20"/>
              </w:rPr>
              <w:t>Head of Reward</w:t>
            </w:r>
            <w:r w:rsidR="007D0A8E">
              <w:rPr>
                <w:rFonts w:ascii="Arial" w:hAnsi="Arial" w:cs="Arial"/>
                <w:sz w:val="20"/>
                <w:szCs w:val="20"/>
              </w:rPr>
              <w:t xml:space="preserve"> and the Reward Partner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 w:rsidR="0032627E">
              <w:rPr>
                <w:rFonts w:ascii="Arial" w:hAnsi="Arial" w:cs="Arial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sz w:val="20"/>
                <w:szCs w:val="20"/>
              </w:rPr>
              <w:t>ment and management of</w:t>
            </w:r>
            <w:r w:rsidR="0032627E">
              <w:rPr>
                <w:rFonts w:ascii="Arial" w:hAnsi="Arial" w:cs="Arial"/>
                <w:sz w:val="20"/>
                <w:szCs w:val="20"/>
              </w:rPr>
              <w:t xml:space="preserve"> pay framework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2627E">
              <w:rPr>
                <w:rFonts w:ascii="Arial" w:hAnsi="Arial" w:cs="Arial"/>
                <w:sz w:val="20"/>
                <w:szCs w:val="20"/>
              </w:rPr>
              <w:t xml:space="preserve"> for UK and International colleagues.</w:t>
            </w:r>
          </w:p>
          <w:p w14:paraId="18E72686" w14:textId="7363ACE2" w:rsidR="0032627E" w:rsidRDefault="0032627E" w:rsidP="0088329E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the reward landscape continually changes, keep abreast of evolving legislation and best practice; recommend opportunities to for MPS to become more efficient and effective.</w:t>
            </w:r>
          </w:p>
          <w:p w14:paraId="76BD9255" w14:textId="77777777" w:rsidR="0032627E" w:rsidRPr="00487C45" w:rsidRDefault="0032627E" w:rsidP="0088329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level or role.</w:t>
            </w:r>
          </w:p>
        </w:tc>
      </w:tr>
    </w:tbl>
    <w:p w14:paraId="605BE1EE" w14:textId="77777777" w:rsidR="00177865" w:rsidRPr="003C65EE" w:rsidRDefault="00177865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0DC17F6E" w14:textId="77777777" w:rsidTr="003C65EE">
        <w:trPr>
          <w:trHeight w:val="187"/>
        </w:trPr>
        <w:tc>
          <w:tcPr>
            <w:tcW w:w="10490" w:type="dxa"/>
            <w:shd w:val="clear" w:color="auto" w:fill="D9D9D9" w:themeFill="background1" w:themeFillShade="D9"/>
          </w:tcPr>
          <w:p w14:paraId="3FF74FE9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91AA683" w14:textId="77777777" w:rsidTr="009A2DED">
        <w:trPr>
          <w:trHeight w:val="544"/>
        </w:trPr>
        <w:tc>
          <w:tcPr>
            <w:tcW w:w="10490" w:type="dxa"/>
          </w:tcPr>
          <w:p w14:paraId="329DC1A5" w14:textId="74B0C939" w:rsidR="00E91DE3" w:rsidRPr="00B75089" w:rsidRDefault="00E91DE3" w:rsidP="00993CFD">
            <w:pPr>
              <w:pStyle w:val="ListParagraph"/>
              <w:spacing w:before="0" w:beforeAutospacing="0" w:after="0" w:afterAutospacing="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2EC0C" w14:textId="77777777" w:rsidR="005542D1" w:rsidRPr="003C65EE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5D2BD86D" w14:textId="77777777" w:rsidTr="0088329E">
        <w:trPr>
          <w:trHeight w:val="113"/>
        </w:trPr>
        <w:tc>
          <w:tcPr>
            <w:tcW w:w="6008" w:type="dxa"/>
            <w:shd w:val="clear" w:color="auto" w:fill="D9D9D9" w:themeFill="background1" w:themeFillShade="D9"/>
          </w:tcPr>
          <w:p w14:paraId="59D656E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ED003BB" w14:textId="77777777" w:rsidR="00E91DE3" w:rsidRPr="00E91DE3" w:rsidRDefault="00C91CFA" w:rsidP="003C65EE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764ADB58" w14:textId="77777777" w:rsidTr="00FF16B8">
        <w:trPr>
          <w:trHeight w:val="211"/>
        </w:trPr>
        <w:tc>
          <w:tcPr>
            <w:tcW w:w="6008" w:type="dxa"/>
          </w:tcPr>
          <w:p w14:paraId="761AAFFA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78DDF69D" w14:textId="07A9A957" w:rsidR="0056188D" w:rsidRPr="00AD5D98" w:rsidRDefault="00BE73B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30F24CCA" w14:textId="77777777" w:rsidTr="00FF16B8">
        <w:trPr>
          <w:trHeight w:val="211"/>
        </w:trPr>
        <w:tc>
          <w:tcPr>
            <w:tcW w:w="6008" w:type="dxa"/>
          </w:tcPr>
          <w:p w14:paraId="30CDB7F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5F17D925" w14:textId="77777777" w:rsidR="004D18E8" w:rsidRPr="00AD5D98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D5D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D5D9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D5D98">
              <w:rPr>
                <w:rFonts w:ascii="Arial" w:hAnsi="Arial" w:cs="Arial"/>
                <w:sz w:val="20"/>
                <w:szCs w:val="20"/>
              </w:rPr>
            </w:r>
            <w:r w:rsidRPr="00AD5D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D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206A0118" w14:textId="77777777" w:rsidTr="00FF16B8">
        <w:trPr>
          <w:trHeight w:val="211"/>
        </w:trPr>
        <w:tc>
          <w:tcPr>
            <w:tcW w:w="6008" w:type="dxa"/>
          </w:tcPr>
          <w:p w14:paraId="5A78ADE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2B3A266" w14:textId="4B655C9F" w:rsidR="004D18E8" w:rsidRPr="00AD5D98" w:rsidRDefault="00BE73B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E956CF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B429F6E" w14:textId="77777777" w:rsidTr="00FF16B8">
        <w:trPr>
          <w:trHeight w:val="211"/>
        </w:trPr>
        <w:tc>
          <w:tcPr>
            <w:tcW w:w="6008" w:type="dxa"/>
          </w:tcPr>
          <w:p w14:paraId="1DB8A7A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003578D" w14:textId="77777777" w:rsidR="004D18E8" w:rsidRPr="00AD5D98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D5D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D5D9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D5D98">
              <w:rPr>
                <w:rFonts w:ascii="Arial" w:hAnsi="Arial" w:cs="Arial"/>
                <w:sz w:val="20"/>
                <w:szCs w:val="20"/>
              </w:rPr>
            </w:r>
            <w:r w:rsidRPr="00AD5D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D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F29D342" w14:textId="77777777" w:rsidTr="00FF16B8">
        <w:trPr>
          <w:trHeight w:val="211"/>
        </w:trPr>
        <w:tc>
          <w:tcPr>
            <w:tcW w:w="6008" w:type="dxa"/>
          </w:tcPr>
          <w:p w14:paraId="35EB055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437E3C6" w14:textId="0A9F102A" w:rsidR="004D18E8" w:rsidRPr="00AD5D98" w:rsidRDefault="00BE73B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E956CF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4EB2831D" w14:textId="77777777" w:rsidTr="00FF16B8">
        <w:trPr>
          <w:trHeight w:val="211"/>
        </w:trPr>
        <w:tc>
          <w:tcPr>
            <w:tcW w:w="6008" w:type="dxa"/>
          </w:tcPr>
          <w:p w14:paraId="429A6AE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9034D1F" w14:textId="133BCAEA" w:rsidR="004D18E8" w:rsidRPr="00AD5D98" w:rsidRDefault="00BE73B2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E956CF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058"/>
        <w:gridCol w:w="4253"/>
        <w:gridCol w:w="3685"/>
      </w:tblGrid>
      <w:tr w:rsidR="00092B12" w:rsidRPr="00B75089" w14:paraId="172CA853" w14:textId="77777777" w:rsidTr="00210D72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15CDC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5274D937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7BDF1E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CF67D2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092B12" w:rsidRPr="00B75089" w14:paraId="1E73145B" w14:textId="77777777" w:rsidTr="00F752F9">
        <w:trPr>
          <w:cantSplit/>
          <w:trHeight w:val="207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742399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058" w:type="dxa"/>
          </w:tcPr>
          <w:p w14:paraId="313BC023" w14:textId="77E43A90" w:rsidR="00106ABE" w:rsidRDefault="00487A78" w:rsidP="00993CF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current </w:t>
            </w:r>
            <w:r w:rsidR="008703DB">
              <w:rPr>
                <w:rFonts w:ascii="Arial" w:hAnsi="Arial" w:cs="Arial"/>
                <w:sz w:val="20"/>
                <w:szCs w:val="20"/>
              </w:rPr>
              <w:t>employment and tax legislation relating to Reward</w:t>
            </w:r>
          </w:p>
          <w:p w14:paraId="32A7391B" w14:textId="28900C9E" w:rsidR="008703DB" w:rsidRPr="00993CFD" w:rsidRDefault="008703DB" w:rsidP="00993CFD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in job evaluation methodologies (preferably Willis Towers Watson)</w:t>
            </w:r>
          </w:p>
        </w:tc>
        <w:tc>
          <w:tcPr>
            <w:tcW w:w="4253" w:type="dxa"/>
          </w:tcPr>
          <w:p w14:paraId="54469AF2" w14:textId="09A79210" w:rsidR="00210D72" w:rsidRPr="00DE3969" w:rsidRDefault="00210D72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233" w:hanging="23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3969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  <w:r w:rsidR="00D14CF8">
              <w:rPr>
                <w:rFonts w:ascii="Arial" w:eastAsia="Calibri" w:hAnsi="Arial" w:cs="Arial"/>
                <w:sz w:val="20"/>
                <w:szCs w:val="20"/>
              </w:rPr>
              <w:t xml:space="preserve"> and ability to </w:t>
            </w:r>
            <w:r w:rsidR="00CD78D6">
              <w:rPr>
                <w:rFonts w:ascii="Arial" w:eastAsia="Calibri" w:hAnsi="Arial" w:cs="Arial"/>
                <w:sz w:val="20"/>
                <w:szCs w:val="20"/>
              </w:rPr>
              <w:t xml:space="preserve">manipulate and </w:t>
            </w:r>
            <w:r w:rsidR="00D14CF8">
              <w:rPr>
                <w:rFonts w:ascii="Arial" w:eastAsia="Calibri" w:hAnsi="Arial" w:cs="Arial"/>
                <w:sz w:val="20"/>
                <w:szCs w:val="20"/>
              </w:rPr>
              <w:t>analyse large volumes of data</w:t>
            </w:r>
          </w:p>
          <w:p w14:paraId="77BCE30C" w14:textId="77777777" w:rsidR="00F60447" w:rsidRPr="0088329E" w:rsidRDefault="00F60447" w:rsidP="00F60447">
            <w:pPr>
              <w:pStyle w:val="ListParagraph"/>
              <w:numPr>
                <w:ilvl w:val="0"/>
                <w:numId w:val="5"/>
              </w:numPr>
              <w:spacing w:after="0"/>
              <w:ind w:left="233" w:hanging="23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IT skills including Advanced Excel</w:t>
            </w:r>
          </w:p>
          <w:p w14:paraId="33B32376" w14:textId="77777777" w:rsidR="00210D72" w:rsidRPr="00DE3969" w:rsidRDefault="00210D72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233" w:hanging="23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3969">
              <w:rPr>
                <w:rFonts w:ascii="Arial" w:eastAsia="Calibri" w:hAnsi="Arial" w:cs="Arial"/>
                <w:sz w:val="20"/>
                <w:szCs w:val="20"/>
              </w:rPr>
              <w:t>Excellent written communication skills.</w:t>
            </w:r>
          </w:p>
          <w:p w14:paraId="706331A7" w14:textId="5DCB10DF" w:rsidR="00210D72" w:rsidRDefault="009719E7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233" w:hanging="23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Highly analytical with ability to use internal and external data</w:t>
            </w:r>
            <w:r w:rsidR="00B96A10">
              <w:rPr>
                <w:rFonts w:ascii="Arial" w:eastAsia="Calibri" w:hAnsi="Arial" w:cs="Arial"/>
                <w:sz w:val="20"/>
                <w:szCs w:val="20"/>
              </w:rPr>
              <w:t xml:space="preserve"> to create </w:t>
            </w:r>
            <w:r w:rsidR="00206ED1">
              <w:rPr>
                <w:rFonts w:ascii="Arial" w:eastAsia="Calibri" w:hAnsi="Arial" w:cs="Arial"/>
                <w:sz w:val="20"/>
                <w:szCs w:val="20"/>
              </w:rPr>
              <w:t>timely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insights </w:t>
            </w:r>
            <w:r w:rsidR="00210D72" w:rsidRPr="006326C0">
              <w:rPr>
                <w:rFonts w:ascii="Arial" w:eastAsia="Calibri" w:hAnsi="Arial" w:cs="Arial"/>
                <w:sz w:val="20"/>
                <w:szCs w:val="20"/>
              </w:rPr>
              <w:t>to inform decisions and actions</w:t>
            </w:r>
            <w:r w:rsidR="00210D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0B81463" w14:textId="11036800" w:rsidR="00210D72" w:rsidRPr="00B75089" w:rsidRDefault="00210D72" w:rsidP="00675D5A">
            <w:pPr>
              <w:pStyle w:val="ListParagraph"/>
              <w:spacing w:after="0"/>
              <w:ind w:left="233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63FE38" w14:textId="39791E2E" w:rsidR="003260C9" w:rsidRPr="00210D72" w:rsidRDefault="003260C9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317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External benchmarking of </w:t>
            </w:r>
            <w:r w:rsidR="00087227">
              <w:rPr>
                <w:rFonts w:ascii="Arial" w:eastAsia="Calibri" w:hAnsi="Arial" w:cs="Arial"/>
                <w:sz w:val="20"/>
                <w:szCs w:val="20"/>
              </w:rPr>
              <w:t>total reward.</w:t>
            </w:r>
          </w:p>
          <w:p w14:paraId="6E1C7100" w14:textId="77777777" w:rsidR="00210D72" w:rsidRPr="00210D72" w:rsidRDefault="00AD5D98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317" w:hanging="28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210D72">
              <w:rPr>
                <w:rFonts w:ascii="Arial" w:eastAsia="Calibri" w:hAnsi="Arial" w:cs="Arial"/>
                <w:sz w:val="20"/>
                <w:szCs w:val="20"/>
              </w:rPr>
              <w:t>mplementing effective reward processes.</w:t>
            </w:r>
          </w:p>
          <w:p w14:paraId="5427F1DA" w14:textId="77777777" w:rsidR="00210D72" w:rsidRDefault="00AD5D98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317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Developing</w:t>
            </w:r>
            <w:r w:rsidR="00210D72" w:rsidRPr="00210D72">
              <w:rPr>
                <w:rFonts w:ascii="Arial" w:eastAsia="Calibri" w:hAnsi="Arial" w:cs="Arial"/>
                <w:sz w:val="20"/>
                <w:szCs w:val="20"/>
              </w:rPr>
              <w:t xml:space="preserve"> MI and reporting.</w:t>
            </w:r>
          </w:p>
          <w:p w14:paraId="1E59FCBF" w14:textId="77777777" w:rsidR="003260C9" w:rsidRDefault="003260C9" w:rsidP="00F752F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Project delivery.</w:t>
            </w:r>
          </w:p>
          <w:p w14:paraId="1B7624EB" w14:textId="49708D0C" w:rsidR="00620086" w:rsidRPr="00675D5A" w:rsidRDefault="00620086" w:rsidP="00675D5A">
            <w:pPr>
              <w:spacing w:beforeAutospacing="0" w:after="0" w:afterAutospacing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B12" w:rsidRPr="00B75089" w14:paraId="2A16E924" w14:textId="77777777" w:rsidTr="00F752F9">
        <w:trPr>
          <w:cantSplit/>
          <w:trHeight w:val="139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FE0976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58" w:type="dxa"/>
          </w:tcPr>
          <w:p w14:paraId="261C90E0" w14:textId="0EAB0E69" w:rsidR="00E40AC5" w:rsidRPr="00993CFD" w:rsidRDefault="00E40AC5" w:rsidP="00993CFD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4253" w:type="dxa"/>
          </w:tcPr>
          <w:p w14:paraId="30EEA809" w14:textId="77777777" w:rsidR="00E40AC5" w:rsidRPr="0088329E" w:rsidRDefault="00E40AC5" w:rsidP="00F752F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B11FC2" w14:textId="53549CFF" w:rsidR="00210D72" w:rsidRDefault="00210D72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317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of working within a </w:t>
            </w:r>
            <w:r w:rsidR="00087227">
              <w:rPr>
                <w:rFonts w:ascii="Arial" w:eastAsia="Calibri" w:hAnsi="Arial" w:cs="Arial"/>
                <w:sz w:val="20"/>
                <w:szCs w:val="20"/>
              </w:rPr>
              <w:t xml:space="preserve">financial services </w:t>
            </w:r>
            <w:r>
              <w:rPr>
                <w:rFonts w:ascii="Arial" w:eastAsia="Calibri" w:hAnsi="Arial" w:cs="Arial"/>
                <w:sz w:val="20"/>
                <w:szCs w:val="20"/>
              </w:rPr>
              <w:t>environment.</w:t>
            </w:r>
          </w:p>
          <w:p w14:paraId="7C1C420B" w14:textId="77777777" w:rsidR="00210D72" w:rsidRDefault="00210D72" w:rsidP="00F752F9">
            <w:pPr>
              <w:pStyle w:val="ListParagraph"/>
              <w:numPr>
                <w:ilvl w:val="0"/>
                <w:numId w:val="5"/>
              </w:numPr>
              <w:spacing w:after="0"/>
              <w:ind w:left="317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HR systems.</w:t>
            </w:r>
          </w:p>
          <w:p w14:paraId="2942BC25" w14:textId="63DAEE30" w:rsidR="00E40AC5" w:rsidRPr="00620086" w:rsidRDefault="002C5DE1" w:rsidP="00F752F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</w:t>
            </w:r>
            <w:r w:rsidR="00092B1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0D72">
              <w:rPr>
                <w:rFonts w:ascii="Arial" w:eastAsia="Calibri" w:hAnsi="Arial" w:cs="Arial"/>
                <w:sz w:val="20"/>
                <w:szCs w:val="20"/>
              </w:rPr>
              <w:t>of reward strategies worldwide.</w:t>
            </w:r>
          </w:p>
          <w:p w14:paraId="631EA7C4" w14:textId="5CC8CD4B" w:rsidR="00620086" w:rsidRPr="00675D5A" w:rsidRDefault="00620086" w:rsidP="00675D5A">
            <w:pPr>
              <w:spacing w:beforeAutospacing="0" w:after="0" w:afterAutospacing="0"/>
              <w:ind w:lef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FAC2E0" w14:textId="77777777" w:rsidR="0056188D" w:rsidRPr="00F752F9" w:rsidRDefault="0056188D" w:rsidP="00B75089">
      <w:pPr>
        <w:spacing w:line="240" w:lineRule="auto"/>
        <w:rPr>
          <w:rFonts w:ascii="Arial" w:hAnsi="Arial" w:cs="Arial"/>
          <w:sz w:val="10"/>
          <w:szCs w:val="10"/>
        </w:rPr>
      </w:pPr>
    </w:p>
    <w:sectPr w:rsidR="0056188D" w:rsidRPr="00F752F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6DF6" w14:textId="77777777" w:rsidR="0003069A" w:rsidRDefault="0003069A" w:rsidP="009E22D0">
      <w:pPr>
        <w:spacing w:after="0" w:line="240" w:lineRule="auto"/>
      </w:pPr>
      <w:r>
        <w:separator/>
      </w:r>
    </w:p>
  </w:endnote>
  <w:endnote w:type="continuationSeparator" w:id="0">
    <w:p w14:paraId="374B26D8" w14:textId="77777777" w:rsidR="0003069A" w:rsidRDefault="0003069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6094" w14:textId="77777777" w:rsidR="0003069A" w:rsidRDefault="0003069A" w:rsidP="009E22D0">
      <w:pPr>
        <w:spacing w:after="0" w:line="240" w:lineRule="auto"/>
      </w:pPr>
      <w:r>
        <w:separator/>
      </w:r>
    </w:p>
  </w:footnote>
  <w:footnote w:type="continuationSeparator" w:id="0">
    <w:p w14:paraId="4512AB66" w14:textId="77777777" w:rsidR="0003069A" w:rsidRDefault="0003069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E8C5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6EDA3FB" wp14:editId="05B88F6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B3"/>
    <w:multiLevelType w:val="hybridMultilevel"/>
    <w:tmpl w:val="5F2CA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E763D8"/>
    <w:multiLevelType w:val="hybridMultilevel"/>
    <w:tmpl w:val="50121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269DA"/>
    <w:multiLevelType w:val="hybridMultilevel"/>
    <w:tmpl w:val="A78AD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2CD"/>
    <w:multiLevelType w:val="hybridMultilevel"/>
    <w:tmpl w:val="2E28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ED4E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26469"/>
    <w:multiLevelType w:val="hybridMultilevel"/>
    <w:tmpl w:val="A2EA8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602DB"/>
    <w:multiLevelType w:val="hybridMultilevel"/>
    <w:tmpl w:val="9002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432B7"/>
    <w:multiLevelType w:val="hybridMultilevel"/>
    <w:tmpl w:val="3F8A0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9502D"/>
    <w:multiLevelType w:val="hybridMultilevel"/>
    <w:tmpl w:val="0F4E8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E15E1"/>
    <w:multiLevelType w:val="hybridMultilevel"/>
    <w:tmpl w:val="102A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0851">
    <w:abstractNumId w:val="13"/>
  </w:num>
  <w:num w:numId="2" w16cid:durableId="1852257891">
    <w:abstractNumId w:val="1"/>
  </w:num>
  <w:num w:numId="3" w16cid:durableId="96412445">
    <w:abstractNumId w:val="11"/>
  </w:num>
  <w:num w:numId="4" w16cid:durableId="1634747836">
    <w:abstractNumId w:val="9"/>
  </w:num>
  <w:num w:numId="5" w16cid:durableId="2001035598">
    <w:abstractNumId w:val="12"/>
  </w:num>
  <w:num w:numId="6" w16cid:durableId="603154877">
    <w:abstractNumId w:val="5"/>
  </w:num>
  <w:num w:numId="7" w16cid:durableId="297880458">
    <w:abstractNumId w:val="15"/>
  </w:num>
  <w:num w:numId="8" w16cid:durableId="1942297218">
    <w:abstractNumId w:val="18"/>
  </w:num>
  <w:num w:numId="9" w16cid:durableId="1979215565">
    <w:abstractNumId w:val="20"/>
  </w:num>
  <w:num w:numId="10" w16cid:durableId="1677346376">
    <w:abstractNumId w:val="16"/>
  </w:num>
  <w:num w:numId="11" w16cid:durableId="1260603963">
    <w:abstractNumId w:val="7"/>
  </w:num>
  <w:num w:numId="12" w16cid:durableId="1737626305">
    <w:abstractNumId w:val="17"/>
  </w:num>
  <w:num w:numId="13" w16cid:durableId="17437178">
    <w:abstractNumId w:val="19"/>
  </w:num>
  <w:num w:numId="14" w16cid:durableId="1204367915">
    <w:abstractNumId w:val="10"/>
  </w:num>
  <w:num w:numId="15" w16cid:durableId="1089084965">
    <w:abstractNumId w:val="6"/>
  </w:num>
  <w:num w:numId="16" w16cid:durableId="1948733096">
    <w:abstractNumId w:val="8"/>
  </w:num>
  <w:num w:numId="17" w16cid:durableId="654802000">
    <w:abstractNumId w:val="3"/>
  </w:num>
  <w:num w:numId="18" w16cid:durableId="77136739">
    <w:abstractNumId w:val="4"/>
  </w:num>
  <w:num w:numId="19" w16cid:durableId="1824274710">
    <w:abstractNumId w:val="14"/>
  </w:num>
  <w:num w:numId="20" w16cid:durableId="1155536670">
    <w:abstractNumId w:val="0"/>
  </w:num>
  <w:num w:numId="21" w16cid:durableId="212265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43BD"/>
    <w:rsid w:val="00014437"/>
    <w:rsid w:val="000234EC"/>
    <w:rsid w:val="000269F7"/>
    <w:rsid w:val="0003069A"/>
    <w:rsid w:val="00055F26"/>
    <w:rsid w:val="00072FE1"/>
    <w:rsid w:val="00080940"/>
    <w:rsid w:val="00082F60"/>
    <w:rsid w:val="00087227"/>
    <w:rsid w:val="00092B12"/>
    <w:rsid w:val="000A6831"/>
    <w:rsid w:val="000B4AC3"/>
    <w:rsid w:val="000D69A7"/>
    <w:rsid w:val="000E4361"/>
    <w:rsid w:val="000E4A3D"/>
    <w:rsid w:val="000E6B98"/>
    <w:rsid w:val="000F5840"/>
    <w:rsid w:val="00106ABE"/>
    <w:rsid w:val="00137E3A"/>
    <w:rsid w:val="00177865"/>
    <w:rsid w:val="001B768A"/>
    <w:rsid w:val="001C3587"/>
    <w:rsid w:val="001F61EF"/>
    <w:rsid w:val="00206ED1"/>
    <w:rsid w:val="002070D4"/>
    <w:rsid w:val="00210D72"/>
    <w:rsid w:val="00221CE9"/>
    <w:rsid w:val="002228BE"/>
    <w:rsid w:val="00222E1F"/>
    <w:rsid w:val="00224D25"/>
    <w:rsid w:val="00253659"/>
    <w:rsid w:val="002B557F"/>
    <w:rsid w:val="002C1B9E"/>
    <w:rsid w:val="002C5DE1"/>
    <w:rsid w:val="003260C9"/>
    <w:rsid w:val="0032627E"/>
    <w:rsid w:val="003452B5"/>
    <w:rsid w:val="003C65EE"/>
    <w:rsid w:val="003E4D2B"/>
    <w:rsid w:val="003F0DC1"/>
    <w:rsid w:val="00413DE5"/>
    <w:rsid w:val="00426CC3"/>
    <w:rsid w:val="0045213F"/>
    <w:rsid w:val="00462924"/>
    <w:rsid w:val="00467BA3"/>
    <w:rsid w:val="00472293"/>
    <w:rsid w:val="00487A78"/>
    <w:rsid w:val="00487C45"/>
    <w:rsid w:val="004931E3"/>
    <w:rsid w:val="004971D0"/>
    <w:rsid w:val="004C78E0"/>
    <w:rsid w:val="004D18E8"/>
    <w:rsid w:val="004D358D"/>
    <w:rsid w:val="004E7A16"/>
    <w:rsid w:val="005542D1"/>
    <w:rsid w:val="00557BBB"/>
    <w:rsid w:val="0056188D"/>
    <w:rsid w:val="00564A1B"/>
    <w:rsid w:val="005C6C52"/>
    <w:rsid w:val="005C7704"/>
    <w:rsid w:val="005F323D"/>
    <w:rsid w:val="00620086"/>
    <w:rsid w:val="00620594"/>
    <w:rsid w:val="006219B1"/>
    <w:rsid w:val="00645712"/>
    <w:rsid w:val="00660AD5"/>
    <w:rsid w:val="00663957"/>
    <w:rsid w:val="00666EB3"/>
    <w:rsid w:val="00675D5A"/>
    <w:rsid w:val="00682ECC"/>
    <w:rsid w:val="006B7E10"/>
    <w:rsid w:val="006E25EC"/>
    <w:rsid w:val="00711E46"/>
    <w:rsid w:val="00717094"/>
    <w:rsid w:val="007320B1"/>
    <w:rsid w:val="0073382C"/>
    <w:rsid w:val="007525CD"/>
    <w:rsid w:val="007660C7"/>
    <w:rsid w:val="007A091F"/>
    <w:rsid w:val="007B78FE"/>
    <w:rsid w:val="007D0A8E"/>
    <w:rsid w:val="007E7CA1"/>
    <w:rsid w:val="00813AEB"/>
    <w:rsid w:val="00843639"/>
    <w:rsid w:val="00850D71"/>
    <w:rsid w:val="008703DB"/>
    <w:rsid w:val="0088329E"/>
    <w:rsid w:val="008D1EB0"/>
    <w:rsid w:val="008D74FB"/>
    <w:rsid w:val="008F753D"/>
    <w:rsid w:val="00910447"/>
    <w:rsid w:val="009719E7"/>
    <w:rsid w:val="00971C0E"/>
    <w:rsid w:val="00993CFD"/>
    <w:rsid w:val="009A2DED"/>
    <w:rsid w:val="009C48D8"/>
    <w:rsid w:val="009E0067"/>
    <w:rsid w:val="009E22D0"/>
    <w:rsid w:val="00A138A4"/>
    <w:rsid w:val="00A13ED4"/>
    <w:rsid w:val="00A37292"/>
    <w:rsid w:val="00A4414A"/>
    <w:rsid w:val="00A44C19"/>
    <w:rsid w:val="00AA14D7"/>
    <w:rsid w:val="00AA47CE"/>
    <w:rsid w:val="00AC1383"/>
    <w:rsid w:val="00AD41F0"/>
    <w:rsid w:val="00AD4AE5"/>
    <w:rsid w:val="00AD5D98"/>
    <w:rsid w:val="00B454BB"/>
    <w:rsid w:val="00B516DF"/>
    <w:rsid w:val="00B63C27"/>
    <w:rsid w:val="00B70C71"/>
    <w:rsid w:val="00B75089"/>
    <w:rsid w:val="00B850FA"/>
    <w:rsid w:val="00B908AC"/>
    <w:rsid w:val="00B96A10"/>
    <w:rsid w:val="00BA0D3C"/>
    <w:rsid w:val="00BC5198"/>
    <w:rsid w:val="00BE73B2"/>
    <w:rsid w:val="00C06F7C"/>
    <w:rsid w:val="00C16832"/>
    <w:rsid w:val="00C415CE"/>
    <w:rsid w:val="00C476D8"/>
    <w:rsid w:val="00C91CFA"/>
    <w:rsid w:val="00C9451A"/>
    <w:rsid w:val="00CC1E93"/>
    <w:rsid w:val="00CC56F7"/>
    <w:rsid w:val="00CD78D6"/>
    <w:rsid w:val="00D11CE6"/>
    <w:rsid w:val="00D14CF8"/>
    <w:rsid w:val="00D2412B"/>
    <w:rsid w:val="00D26B79"/>
    <w:rsid w:val="00D42C75"/>
    <w:rsid w:val="00DB140C"/>
    <w:rsid w:val="00DB7CB8"/>
    <w:rsid w:val="00DD03AA"/>
    <w:rsid w:val="00DD07EC"/>
    <w:rsid w:val="00E24CE1"/>
    <w:rsid w:val="00E40AC5"/>
    <w:rsid w:val="00E52275"/>
    <w:rsid w:val="00E57219"/>
    <w:rsid w:val="00E57684"/>
    <w:rsid w:val="00E83EA1"/>
    <w:rsid w:val="00E90C16"/>
    <w:rsid w:val="00E91DE3"/>
    <w:rsid w:val="00E956CF"/>
    <w:rsid w:val="00EC4012"/>
    <w:rsid w:val="00ED6BA3"/>
    <w:rsid w:val="00F222CF"/>
    <w:rsid w:val="00F5319A"/>
    <w:rsid w:val="00F60447"/>
    <w:rsid w:val="00F7099B"/>
    <w:rsid w:val="00F752F9"/>
    <w:rsid w:val="00F824E5"/>
    <w:rsid w:val="00FA7335"/>
    <w:rsid w:val="00FB3945"/>
    <w:rsid w:val="00FB4711"/>
    <w:rsid w:val="00FC0B6F"/>
    <w:rsid w:val="00FD3E15"/>
    <w:rsid w:val="00FE4D6D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A704D"/>
  <w15:docId w15:val="{7D6449D7-22D7-4967-B291-F604D902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EA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A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2008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B6A4FBB1-7867-4103-8AD9-D64C29677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CA7CE-5A50-4E5C-BF3B-606414F694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Vickie Pooley</cp:lastModifiedBy>
  <cp:revision>78</cp:revision>
  <dcterms:created xsi:type="dcterms:W3CDTF">2025-10-20T08:31:00Z</dcterms:created>
  <dcterms:modified xsi:type="dcterms:W3CDTF">2025-10-20T13:29:00Z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a76355c5-8082-40b8-b495-868eb1c05249</vt:lpwstr>
  </property>
  <property fmtid="{D5CDD505-2E9C-101B-9397-08002B2CF9AE}" pid="3" name="bjSaver">
    <vt:lpwstr>XYHhT9a/0v9NeGZr7WmGw2tZOxWuJLxl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2025-10-20T08:30:44Z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cc3b7e14-2a24-43c3-9ce4-11a37280f034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